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3BE8D" w14:textId="384E4054" w:rsidR="00B15048" w:rsidRPr="00B15048" w:rsidRDefault="00B15048" w:rsidP="00B15048">
      <w:pPr>
        <w:jc w:val="center"/>
        <w:rPr>
          <w:color w:val="4472C4" w:themeColor="accent1"/>
          <w:sz w:val="96"/>
          <w:szCs w:val="96"/>
        </w:rPr>
      </w:pPr>
      <w:r w:rsidRPr="00B15048">
        <w:rPr>
          <w:color w:val="4472C4" w:themeColor="accent1"/>
          <w:sz w:val="96"/>
          <w:szCs w:val="96"/>
        </w:rPr>
        <w:t>Falkirk Council</w:t>
      </w:r>
    </w:p>
    <w:p w14:paraId="7CE17698" w14:textId="6855A2AA" w:rsidR="00B15048" w:rsidRPr="00B15048" w:rsidRDefault="00B15048" w:rsidP="00B15048">
      <w:pPr>
        <w:jc w:val="center"/>
        <w:rPr>
          <w:rFonts w:asciiTheme="majorHAnsi" w:eastAsiaTheme="majorEastAsia" w:hAnsiTheme="majorHAnsi" w:cstheme="majorBidi"/>
          <w:color w:val="4472C4" w:themeColor="accent1"/>
          <w:sz w:val="96"/>
          <w:szCs w:val="96"/>
        </w:rPr>
      </w:pPr>
      <w:r w:rsidRPr="00B15048">
        <w:rPr>
          <w:color w:val="4472C4" w:themeColor="accent1"/>
          <w:sz w:val="96"/>
          <w:szCs w:val="96"/>
        </w:rPr>
        <w:t>Housing Market Refresh</w:t>
      </w:r>
    </w:p>
    <w:p w14:paraId="75CAB7AA" w14:textId="77777777" w:rsidR="00B15048" w:rsidRDefault="00B15048">
      <w:pPr>
        <w:rPr>
          <w:rFonts w:asciiTheme="majorHAnsi" w:eastAsiaTheme="majorEastAsia" w:hAnsiTheme="majorHAnsi" w:cstheme="majorBidi"/>
          <w:sz w:val="24"/>
          <w:szCs w:val="24"/>
        </w:rPr>
      </w:pPr>
      <w:r>
        <w:br w:type="page"/>
      </w:r>
    </w:p>
    <w:p w14:paraId="7E3E1ADF" w14:textId="2D06B7ED" w:rsidR="00225852" w:rsidRPr="00B15048" w:rsidRDefault="00225852" w:rsidP="00225852">
      <w:pPr>
        <w:pStyle w:val="Heading3"/>
        <w:rPr>
          <w:b/>
          <w:bCs/>
          <w:color w:val="auto"/>
        </w:rPr>
      </w:pPr>
      <w:r w:rsidRPr="00B15048">
        <w:rPr>
          <w:b/>
          <w:bCs/>
          <w:color w:val="auto"/>
        </w:rPr>
        <w:lastRenderedPageBreak/>
        <w:t xml:space="preserve">INTRODUCTION </w:t>
      </w:r>
    </w:p>
    <w:p w14:paraId="3EBF622C" w14:textId="5C42B54F" w:rsidR="00225852" w:rsidRDefault="00225852" w:rsidP="00225852">
      <w:pPr>
        <w:rPr>
          <w:rFonts w:cstheme="minorHAnsi"/>
        </w:rPr>
      </w:pPr>
      <w:r w:rsidRPr="009F608E">
        <w:rPr>
          <w:rFonts w:cstheme="minorHAnsi"/>
        </w:rPr>
        <w:t>The first stage of the Housing Need and Demand Assessment (HNDA) is to identify the functional housing market area.  Functional Housing Market Areas as defined in SPP3 Consultative Draft as “a geographical area which is relatively self-contained in terms of housing demand”.  However, these are not rigid boundaries as there will always be moves between market areas. Market area boundaries can also change as a result of new development, infrastructure and consumer choices. This housing market area refresh will help understand whether earlier assumptions remain appropriate.</w:t>
      </w:r>
    </w:p>
    <w:p w14:paraId="4CBBC9EC" w14:textId="77777777" w:rsidR="007F7403" w:rsidRPr="009F608E" w:rsidRDefault="007F7403" w:rsidP="007F7403">
      <w:pPr>
        <w:rPr>
          <w:rFonts w:cstheme="minorHAnsi"/>
        </w:rPr>
      </w:pPr>
      <w:r w:rsidRPr="009F608E">
        <w:rPr>
          <w:rFonts w:cstheme="minorHAnsi"/>
        </w:rPr>
        <w:t>In practice, housing market areas can be identified in a number of ways:</w:t>
      </w:r>
    </w:p>
    <w:p w14:paraId="5B3E44E4" w14:textId="77777777" w:rsidR="007F7403" w:rsidRPr="009F608E" w:rsidRDefault="007F7403" w:rsidP="007F7403">
      <w:pPr>
        <w:numPr>
          <w:ilvl w:val="0"/>
          <w:numId w:val="1"/>
        </w:numPr>
        <w:contextualSpacing/>
        <w:rPr>
          <w:rFonts w:cstheme="minorHAnsi"/>
        </w:rPr>
      </w:pPr>
      <w:r w:rsidRPr="009F608E">
        <w:rPr>
          <w:rFonts w:cstheme="minorHAnsi"/>
        </w:rPr>
        <w:t>Using predefined boundaries</w:t>
      </w:r>
    </w:p>
    <w:p w14:paraId="7EE5B6B7" w14:textId="7A37B72B" w:rsidR="007F7403" w:rsidRPr="009F608E" w:rsidRDefault="007F7403" w:rsidP="007F7403">
      <w:pPr>
        <w:numPr>
          <w:ilvl w:val="0"/>
          <w:numId w:val="1"/>
        </w:numPr>
        <w:contextualSpacing/>
        <w:rPr>
          <w:rFonts w:cstheme="minorHAnsi"/>
        </w:rPr>
      </w:pPr>
      <w:r w:rsidRPr="009F608E">
        <w:rPr>
          <w:rFonts w:cstheme="minorHAnsi"/>
        </w:rPr>
        <w:t xml:space="preserve">Origin based and destination </w:t>
      </w:r>
      <w:r w:rsidR="00AE7CD6" w:rsidRPr="009F608E">
        <w:rPr>
          <w:rFonts w:cstheme="minorHAnsi"/>
        </w:rPr>
        <w:t>self-containment.</w:t>
      </w:r>
    </w:p>
    <w:p w14:paraId="21A4BA27" w14:textId="77777777" w:rsidR="007F7403" w:rsidRDefault="007F7403" w:rsidP="007F7403">
      <w:pPr>
        <w:numPr>
          <w:ilvl w:val="0"/>
          <w:numId w:val="1"/>
        </w:numPr>
        <w:contextualSpacing/>
        <w:rPr>
          <w:rFonts w:cstheme="minorHAnsi"/>
        </w:rPr>
      </w:pPr>
      <w:r w:rsidRPr="009F608E">
        <w:rPr>
          <w:rFonts w:cstheme="minorHAnsi"/>
        </w:rPr>
        <w:t>Centre to periphery household flows; and</w:t>
      </w:r>
    </w:p>
    <w:p w14:paraId="06327597" w14:textId="4A5B0A3E" w:rsidR="007F7403" w:rsidRPr="007F7403" w:rsidRDefault="007F7403" w:rsidP="007F7403">
      <w:pPr>
        <w:numPr>
          <w:ilvl w:val="0"/>
          <w:numId w:val="1"/>
        </w:numPr>
        <w:contextualSpacing/>
        <w:rPr>
          <w:rFonts w:cstheme="minorHAnsi"/>
        </w:rPr>
      </w:pPr>
      <w:r w:rsidRPr="007F7403">
        <w:rPr>
          <w:rFonts w:cstheme="minorHAnsi"/>
        </w:rPr>
        <w:t>Using local knowledge</w:t>
      </w:r>
    </w:p>
    <w:p w14:paraId="003488B8" w14:textId="77777777" w:rsidR="007F7403" w:rsidRDefault="007F7403" w:rsidP="007F7403">
      <w:pPr>
        <w:rPr>
          <w:rFonts w:cstheme="minorHAnsi"/>
        </w:rPr>
      </w:pPr>
    </w:p>
    <w:p w14:paraId="0E3B3F34" w14:textId="7A6DB25D" w:rsidR="007F7403" w:rsidRDefault="007F7403" w:rsidP="007F7403">
      <w:pPr>
        <w:rPr>
          <w:rFonts w:cstheme="minorHAnsi"/>
        </w:rPr>
      </w:pPr>
      <w:r w:rsidRPr="009F608E">
        <w:rPr>
          <w:rFonts w:cstheme="minorHAnsi"/>
        </w:rPr>
        <w:t>The Scottish Government does not recommend one approach over another and recognises that different approaches are required in different areas. In order to ensure consistency with previous work undertaken on identifying the functional housing market area, origin based and destination self-containment will be looked at.</w:t>
      </w:r>
    </w:p>
    <w:p w14:paraId="72FF7693" w14:textId="77777777" w:rsidR="007F7403" w:rsidRPr="00E50796" w:rsidRDefault="007F7403" w:rsidP="007F7403">
      <w:pPr>
        <w:rPr>
          <w:rFonts w:cstheme="minorHAnsi"/>
        </w:rPr>
      </w:pPr>
      <w:r w:rsidRPr="00E50796">
        <w:rPr>
          <w:rFonts w:cstheme="minorHAnsi"/>
        </w:rPr>
        <w:t>The evidence presented in this report is required to fulfil Core Process 2 in order to achieve “robust and credible” status from the CHMA.</w:t>
      </w:r>
    </w:p>
    <w:p w14:paraId="4D74D2CC" w14:textId="77777777" w:rsidR="007F7403" w:rsidRDefault="007F7403" w:rsidP="007F7403">
      <w:pPr>
        <w:rPr>
          <w:rFonts w:cstheme="minorHAnsi"/>
          <w:b/>
        </w:rPr>
      </w:pPr>
      <w:r w:rsidRPr="00E50796">
        <w:rPr>
          <w:rFonts w:cstheme="minorHAnsi"/>
          <w:b/>
        </w:rPr>
        <w:t>CORE PROCESS 2</w:t>
      </w:r>
    </w:p>
    <w:p w14:paraId="6E48F1A5" w14:textId="541AE838" w:rsidR="007F7403" w:rsidRPr="007F7403" w:rsidRDefault="007F7403" w:rsidP="007F7403">
      <w:pPr>
        <w:pBdr>
          <w:top w:val="single" w:sz="4" w:space="1" w:color="auto"/>
          <w:left w:val="single" w:sz="4" w:space="4" w:color="auto"/>
          <w:bottom w:val="single" w:sz="4" w:space="0" w:color="auto"/>
          <w:right w:val="single" w:sz="4" w:space="4" w:color="auto"/>
        </w:pBdr>
        <w:spacing w:after="200" w:line="276" w:lineRule="auto"/>
        <w:rPr>
          <w:rFonts w:eastAsia="Calibri" w:cstheme="minorHAnsi"/>
        </w:rPr>
      </w:pPr>
      <w:r w:rsidRPr="00E50796">
        <w:rPr>
          <w:rFonts w:eastAsia="Calibri" w:cstheme="minorHAnsi"/>
        </w:rPr>
        <w:t>The Housing Market Areas have been agreed with the Housing Market Partnership and are considered in the production of all core outputs.</w:t>
      </w:r>
    </w:p>
    <w:p w14:paraId="23886555" w14:textId="77777777" w:rsidR="007F7403" w:rsidRPr="007F7403" w:rsidRDefault="007F7403" w:rsidP="007F7403">
      <w:pPr>
        <w:pStyle w:val="Heading3"/>
        <w:rPr>
          <w:color w:val="auto"/>
        </w:rPr>
      </w:pPr>
      <w:r w:rsidRPr="007F7403">
        <w:rPr>
          <w:color w:val="auto"/>
        </w:rPr>
        <w:t>The Falkirk Housing Market Area</w:t>
      </w:r>
    </w:p>
    <w:p w14:paraId="42A422A1" w14:textId="77777777" w:rsidR="007F7403" w:rsidRPr="00FE28B0" w:rsidRDefault="007F7403" w:rsidP="007F7403">
      <w:pPr>
        <w:rPr>
          <w:rFonts w:eastAsia="Times New Roman" w:cstheme="minorHAnsi"/>
          <w:lang w:eastAsia="en-GB"/>
        </w:rPr>
      </w:pPr>
      <w:r w:rsidRPr="00FE28B0">
        <w:rPr>
          <w:rFonts w:cstheme="minorHAnsi"/>
          <w:bCs/>
        </w:rPr>
        <w:t>Work undertaken by Newhaven in 2007 found</w:t>
      </w:r>
      <w:r w:rsidRPr="00FE28B0">
        <w:rPr>
          <w:rFonts w:eastAsia="Times New Roman" w:cstheme="minorHAnsi"/>
          <w:lang w:eastAsia="en-GB"/>
        </w:rPr>
        <w:t xml:space="preserve"> that within the Falkirk housing market there are five identifiable areas that are large and distinct enough to support separate housing needs analysis.</w:t>
      </w:r>
    </w:p>
    <w:p w14:paraId="2DD14F89" w14:textId="77777777" w:rsidR="007F7403" w:rsidRPr="00FE28B0" w:rsidRDefault="007F7403" w:rsidP="007F7403">
      <w:pPr>
        <w:rPr>
          <w:rFonts w:eastAsia="Times New Roman" w:cstheme="minorHAnsi"/>
          <w:lang w:eastAsia="en-GB"/>
        </w:rPr>
      </w:pPr>
      <w:r w:rsidRPr="00FE28B0">
        <w:rPr>
          <w:rFonts w:eastAsia="Times New Roman" w:cstheme="minorHAnsi"/>
          <w:lang w:eastAsia="en-GB"/>
        </w:rPr>
        <w:t>The five identifiable areas are:</w:t>
      </w:r>
    </w:p>
    <w:p w14:paraId="51E4F477" w14:textId="77777777" w:rsidR="007F7403" w:rsidRDefault="007F7403" w:rsidP="007F7403">
      <w:pPr>
        <w:pStyle w:val="ListParagraph"/>
        <w:numPr>
          <w:ilvl w:val="0"/>
          <w:numId w:val="2"/>
        </w:numPr>
        <w:spacing w:after="200" w:line="276" w:lineRule="auto"/>
        <w:rPr>
          <w:rFonts w:eastAsia="Times New Roman" w:cstheme="minorHAnsi"/>
          <w:lang w:eastAsia="en-GB"/>
        </w:rPr>
      </w:pPr>
      <w:r w:rsidRPr="00FE28B0">
        <w:rPr>
          <w:rFonts w:eastAsia="Times New Roman" w:cstheme="minorHAnsi"/>
          <w:lang w:eastAsia="en-GB"/>
        </w:rPr>
        <w:t>Bo’ness</w:t>
      </w:r>
    </w:p>
    <w:p w14:paraId="57834DD3" w14:textId="77777777" w:rsidR="007F7403" w:rsidRDefault="007F7403" w:rsidP="007F7403">
      <w:pPr>
        <w:pStyle w:val="ListParagraph"/>
        <w:numPr>
          <w:ilvl w:val="0"/>
          <w:numId w:val="2"/>
        </w:numPr>
        <w:spacing w:after="200" w:line="276" w:lineRule="auto"/>
        <w:rPr>
          <w:rFonts w:eastAsia="Times New Roman" w:cstheme="minorHAnsi"/>
          <w:lang w:eastAsia="en-GB"/>
        </w:rPr>
      </w:pPr>
      <w:r w:rsidRPr="00FE28B0">
        <w:rPr>
          <w:rFonts w:eastAsia="Times New Roman" w:cstheme="minorHAnsi"/>
          <w:lang w:eastAsia="en-GB"/>
        </w:rPr>
        <w:t>Denny and Bonnybridge</w:t>
      </w:r>
    </w:p>
    <w:p w14:paraId="634D7443" w14:textId="77777777" w:rsidR="007F7403" w:rsidRDefault="007F7403" w:rsidP="007F7403">
      <w:pPr>
        <w:pStyle w:val="ListParagraph"/>
        <w:numPr>
          <w:ilvl w:val="0"/>
          <w:numId w:val="2"/>
        </w:numPr>
        <w:spacing w:after="200" w:line="276" w:lineRule="auto"/>
        <w:rPr>
          <w:rFonts w:eastAsia="Times New Roman" w:cstheme="minorHAnsi"/>
          <w:lang w:eastAsia="en-GB"/>
        </w:rPr>
      </w:pPr>
      <w:r w:rsidRPr="00FE28B0">
        <w:rPr>
          <w:rFonts w:eastAsia="Times New Roman" w:cstheme="minorHAnsi"/>
          <w:lang w:eastAsia="en-GB"/>
        </w:rPr>
        <w:t>Wider Falkirk</w:t>
      </w:r>
    </w:p>
    <w:p w14:paraId="2D721BA9" w14:textId="77777777" w:rsidR="007F7403" w:rsidRDefault="007F7403" w:rsidP="007F7403">
      <w:pPr>
        <w:pStyle w:val="ListParagraph"/>
        <w:numPr>
          <w:ilvl w:val="0"/>
          <w:numId w:val="2"/>
        </w:numPr>
        <w:spacing w:after="200" w:line="276" w:lineRule="auto"/>
        <w:rPr>
          <w:rFonts w:eastAsia="Times New Roman" w:cstheme="minorHAnsi"/>
          <w:lang w:eastAsia="en-GB"/>
        </w:rPr>
      </w:pPr>
      <w:r w:rsidRPr="00FE28B0">
        <w:rPr>
          <w:rFonts w:eastAsia="Times New Roman" w:cstheme="minorHAnsi"/>
          <w:lang w:eastAsia="en-GB"/>
        </w:rPr>
        <w:t>Grangemouth</w:t>
      </w:r>
    </w:p>
    <w:p w14:paraId="0D9BFCC3" w14:textId="77777777" w:rsidR="007F7403" w:rsidRPr="00FE28B0" w:rsidRDefault="007F7403" w:rsidP="007F7403">
      <w:pPr>
        <w:pStyle w:val="ListParagraph"/>
        <w:numPr>
          <w:ilvl w:val="0"/>
          <w:numId w:val="2"/>
        </w:numPr>
        <w:spacing w:after="200" w:line="276" w:lineRule="auto"/>
        <w:rPr>
          <w:rFonts w:eastAsia="Times New Roman" w:cstheme="minorHAnsi"/>
          <w:lang w:eastAsia="en-GB"/>
        </w:rPr>
      </w:pPr>
      <w:r>
        <w:rPr>
          <w:rFonts w:eastAsia="Times New Roman" w:cstheme="minorHAnsi"/>
          <w:lang w:eastAsia="en-GB"/>
        </w:rPr>
        <w:t>Braes</w:t>
      </w:r>
      <w:r w:rsidRPr="00FE28B0">
        <w:rPr>
          <w:rFonts w:eastAsia="Times New Roman" w:cstheme="minorHAnsi"/>
          <w:lang w:eastAsia="en-GB"/>
        </w:rPr>
        <w:t xml:space="preserve"> and Rural South</w:t>
      </w:r>
    </w:p>
    <w:p w14:paraId="343C7A91" w14:textId="38C45FED" w:rsidR="007F7403" w:rsidRDefault="007F7403" w:rsidP="007F7403">
      <w:pPr>
        <w:rPr>
          <w:rFonts w:eastAsia="Times New Roman" w:cstheme="minorHAnsi"/>
          <w:lang w:eastAsia="en-GB"/>
        </w:rPr>
      </w:pPr>
      <w:r w:rsidRPr="00FE28B0">
        <w:rPr>
          <w:rFonts w:eastAsia="Times New Roman" w:cstheme="minorHAnsi"/>
          <w:lang w:eastAsia="en-GB"/>
        </w:rPr>
        <w:t>Within the Wider Falkirk, there is a sub-area which includes both the Larbert Stenhousemuir and Rural North Local plan areas.</w:t>
      </w:r>
    </w:p>
    <w:p w14:paraId="5CBE4DB6" w14:textId="77777777" w:rsidR="007F7403" w:rsidRDefault="007F7403" w:rsidP="007F7403">
      <w:pPr>
        <w:rPr>
          <w:rFonts w:cstheme="minorHAnsi"/>
          <w:b/>
        </w:rPr>
      </w:pPr>
    </w:p>
    <w:p w14:paraId="301846E2" w14:textId="77777777" w:rsidR="007F7403" w:rsidRDefault="007F7403" w:rsidP="007F7403">
      <w:pPr>
        <w:rPr>
          <w:rFonts w:cstheme="minorHAnsi"/>
          <w:b/>
        </w:rPr>
      </w:pPr>
    </w:p>
    <w:p w14:paraId="53E516A7" w14:textId="77777777" w:rsidR="007F7403" w:rsidRDefault="007F7403" w:rsidP="007F7403">
      <w:pPr>
        <w:rPr>
          <w:rFonts w:cstheme="minorHAnsi"/>
          <w:b/>
        </w:rPr>
      </w:pPr>
    </w:p>
    <w:p w14:paraId="01787051" w14:textId="77777777" w:rsidR="007F7403" w:rsidRDefault="007F7403" w:rsidP="007F7403">
      <w:pPr>
        <w:rPr>
          <w:rFonts w:cstheme="minorHAnsi"/>
          <w:b/>
        </w:rPr>
      </w:pPr>
    </w:p>
    <w:p w14:paraId="6614C307" w14:textId="16A2E002" w:rsidR="007F7403" w:rsidRDefault="007F7403" w:rsidP="007F7403">
      <w:pPr>
        <w:rPr>
          <w:rFonts w:cstheme="minorHAnsi"/>
          <w:b/>
        </w:rPr>
      </w:pPr>
      <w:r w:rsidRPr="00E50796">
        <w:rPr>
          <w:rFonts w:cstheme="minorHAnsi"/>
          <w:b/>
        </w:rPr>
        <w:lastRenderedPageBreak/>
        <w:t>Figure 1: Falkirk Housing Sub Market Areas</w:t>
      </w:r>
    </w:p>
    <w:p w14:paraId="458AC5B3" w14:textId="77777777" w:rsidR="007F7403" w:rsidRPr="00E50796" w:rsidRDefault="007F7403" w:rsidP="007F7403">
      <w:pPr>
        <w:rPr>
          <w:rFonts w:cstheme="minorHAnsi"/>
          <w:b/>
        </w:rPr>
      </w:pPr>
      <w:r>
        <w:rPr>
          <w:rFonts w:ascii="ArialMT" w:hAnsi="ArialMT" w:cs="ArialMT"/>
          <w:noProof/>
          <w:lang w:eastAsia="en-GB"/>
        </w:rPr>
        <w:drawing>
          <wp:inline distT="0" distB="0" distL="0" distR="0" wp14:anchorId="13C295CB" wp14:editId="68B946E1">
            <wp:extent cx="5285740" cy="3737610"/>
            <wp:effectExtent l="0" t="0" r="0" b="0"/>
            <wp:docPr id="2" name="Picture 2" descr="Figure 1: Falkirk Housing Sub Marke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Falkirk Housing Sub Market Areas"/>
                    <pic:cNvPicPr/>
                  </pic:nvPicPr>
                  <pic:blipFill>
                    <a:blip r:embed="rId7">
                      <a:extLst>
                        <a:ext uri="{28A0092B-C50C-407E-A947-70E740481C1C}">
                          <a14:useLocalDpi xmlns:a14="http://schemas.microsoft.com/office/drawing/2010/main" val="0"/>
                        </a:ext>
                      </a:extLst>
                    </a:blip>
                    <a:stretch>
                      <a:fillRect/>
                    </a:stretch>
                  </pic:blipFill>
                  <pic:spPr>
                    <a:xfrm>
                      <a:off x="0" y="0"/>
                      <a:ext cx="5285740" cy="3737610"/>
                    </a:xfrm>
                    <a:prstGeom prst="rect">
                      <a:avLst/>
                    </a:prstGeom>
                  </pic:spPr>
                </pic:pic>
              </a:graphicData>
            </a:graphic>
          </wp:inline>
        </w:drawing>
      </w:r>
    </w:p>
    <w:p w14:paraId="77CF3BEA" w14:textId="77777777" w:rsidR="007F7403" w:rsidRDefault="007F7403" w:rsidP="007F7403">
      <w:pPr>
        <w:rPr>
          <w:rFonts w:cstheme="minorHAnsi"/>
        </w:rPr>
      </w:pPr>
    </w:p>
    <w:p w14:paraId="643A82AE" w14:textId="77777777" w:rsidR="007F7403" w:rsidRPr="00FE28B0" w:rsidRDefault="007F7403" w:rsidP="007F7403">
      <w:pPr>
        <w:spacing w:after="200" w:line="276" w:lineRule="auto"/>
        <w:rPr>
          <w:rFonts w:cstheme="minorHAnsi"/>
          <w:b/>
        </w:rPr>
      </w:pPr>
      <w:r w:rsidRPr="00FE28B0">
        <w:rPr>
          <w:rFonts w:cstheme="minorHAnsi"/>
          <w:b/>
        </w:rPr>
        <w:t>Purpose of the Housing Market Refresh</w:t>
      </w:r>
    </w:p>
    <w:p w14:paraId="33B44506" w14:textId="77777777" w:rsidR="007F7403" w:rsidRPr="00FE28B0" w:rsidRDefault="007F7403" w:rsidP="007F7403">
      <w:pPr>
        <w:rPr>
          <w:rFonts w:cstheme="minorHAnsi"/>
          <w:b/>
        </w:rPr>
      </w:pPr>
      <w:r w:rsidRPr="00FE28B0">
        <w:rPr>
          <w:rFonts w:cstheme="minorHAnsi"/>
          <w:b/>
        </w:rPr>
        <w:t>Background</w:t>
      </w:r>
    </w:p>
    <w:p w14:paraId="25C8BBAB" w14:textId="77777777" w:rsidR="007F7403" w:rsidRPr="00FE28B0" w:rsidRDefault="007F7403" w:rsidP="007F7403">
      <w:pPr>
        <w:rPr>
          <w:rFonts w:cstheme="minorHAnsi"/>
        </w:rPr>
      </w:pPr>
      <w:r w:rsidRPr="00FE28B0">
        <w:rPr>
          <w:rFonts w:cstheme="minorHAnsi"/>
        </w:rPr>
        <w:t xml:space="preserve">The refresh of the housing market areas is necessary to ensure that the next Falkirk Council HNDA can be prepared with the appropriate geographical outputs. The emphasis is on clarifying whether the housing market areas agreed in 2007 and then in 2009 have changed. </w:t>
      </w:r>
    </w:p>
    <w:p w14:paraId="20D44359" w14:textId="77777777" w:rsidR="007F7403" w:rsidRPr="00FE28B0" w:rsidRDefault="007F7403" w:rsidP="007F7403">
      <w:pPr>
        <w:rPr>
          <w:rFonts w:cstheme="minorHAnsi"/>
        </w:rPr>
      </w:pPr>
      <w:r w:rsidRPr="00FE28B0">
        <w:rPr>
          <w:rFonts w:cstheme="minorHAnsi"/>
        </w:rPr>
        <w:t>The purpose of this refresh is to:</w:t>
      </w:r>
    </w:p>
    <w:p w14:paraId="0A2877F7" w14:textId="743293F4" w:rsidR="007F7403" w:rsidRPr="00FE28B0" w:rsidRDefault="007F7403" w:rsidP="007F7403">
      <w:pPr>
        <w:pStyle w:val="ListParagraph"/>
        <w:numPr>
          <w:ilvl w:val="0"/>
          <w:numId w:val="3"/>
        </w:numPr>
        <w:spacing w:after="200" w:line="276" w:lineRule="auto"/>
        <w:rPr>
          <w:rFonts w:cstheme="minorHAnsi"/>
        </w:rPr>
      </w:pPr>
      <w:r w:rsidRPr="00FE28B0">
        <w:rPr>
          <w:rFonts w:cstheme="minorHAnsi"/>
        </w:rPr>
        <w:t xml:space="preserve">Determine whether any statistical evidence exists to warrant a change to present housing market </w:t>
      </w:r>
      <w:r w:rsidR="00AE7CD6" w:rsidRPr="00FE28B0">
        <w:rPr>
          <w:rFonts w:cstheme="minorHAnsi"/>
        </w:rPr>
        <w:t>boundaries.</w:t>
      </w:r>
    </w:p>
    <w:p w14:paraId="4D8EEEE9" w14:textId="77777777" w:rsidR="007F7403" w:rsidRPr="00FE28B0" w:rsidRDefault="007F7403" w:rsidP="007F7403">
      <w:pPr>
        <w:pStyle w:val="ListParagraph"/>
        <w:numPr>
          <w:ilvl w:val="0"/>
          <w:numId w:val="3"/>
        </w:numPr>
        <w:spacing w:after="200" w:line="276" w:lineRule="auto"/>
        <w:rPr>
          <w:rFonts w:cstheme="minorHAnsi"/>
        </w:rPr>
      </w:pPr>
      <w:r w:rsidRPr="00FE28B0">
        <w:rPr>
          <w:rFonts w:cstheme="minorHAnsi"/>
        </w:rPr>
        <w:t>Determine the extent and nature of any cross-boundary housing market areas;</w:t>
      </w:r>
    </w:p>
    <w:p w14:paraId="7F70329D" w14:textId="06EFE1BC" w:rsidR="007F7403" w:rsidRDefault="007F7403" w:rsidP="007F7403">
      <w:pPr>
        <w:pStyle w:val="ListParagraph"/>
        <w:numPr>
          <w:ilvl w:val="0"/>
          <w:numId w:val="3"/>
        </w:numPr>
        <w:spacing w:after="200" w:line="276" w:lineRule="auto"/>
        <w:rPr>
          <w:rFonts w:cstheme="minorHAnsi"/>
        </w:rPr>
      </w:pPr>
      <w:r w:rsidRPr="00FE28B0">
        <w:rPr>
          <w:rFonts w:cstheme="minorHAnsi"/>
        </w:rPr>
        <w:t>Draw a set of coherent functional market area boundaries across the Falkirk area including any cross-boundary market areas.</w:t>
      </w:r>
    </w:p>
    <w:p w14:paraId="4C9ED405" w14:textId="77777777" w:rsidR="007F7403" w:rsidRPr="00B15048" w:rsidRDefault="007F7403" w:rsidP="007F7403">
      <w:pPr>
        <w:pStyle w:val="Heading3"/>
        <w:rPr>
          <w:b/>
          <w:bCs/>
          <w:color w:val="auto"/>
        </w:rPr>
      </w:pPr>
      <w:r w:rsidRPr="00B15048">
        <w:rPr>
          <w:b/>
          <w:bCs/>
          <w:color w:val="auto"/>
        </w:rPr>
        <w:t>Method</w:t>
      </w:r>
    </w:p>
    <w:p w14:paraId="04389A10" w14:textId="77777777" w:rsidR="007F7403" w:rsidRPr="00BE05EE" w:rsidRDefault="007F7403" w:rsidP="007F7403">
      <w:pPr>
        <w:rPr>
          <w:rFonts w:cstheme="minorHAnsi"/>
        </w:rPr>
      </w:pPr>
      <w:r w:rsidRPr="00BE05EE">
        <w:rPr>
          <w:rFonts w:cstheme="minorHAnsi"/>
        </w:rPr>
        <w:t xml:space="preserve">The approach used different types of analyses which </w:t>
      </w:r>
      <w:proofErr w:type="gramStart"/>
      <w:r w:rsidRPr="00BE05EE">
        <w:rPr>
          <w:rFonts w:cstheme="minorHAnsi"/>
        </w:rPr>
        <w:t>included;</w:t>
      </w:r>
      <w:proofErr w:type="gramEnd"/>
    </w:p>
    <w:p w14:paraId="0A7B0DEA" w14:textId="77777777" w:rsidR="007F7403" w:rsidRPr="00BE05EE" w:rsidRDefault="007F7403" w:rsidP="007F7403">
      <w:pPr>
        <w:pStyle w:val="ListParagraph"/>
        <w:numPr>
          <w:ilvl w:val="0"/>
          <w:numId w:val="4"/>
        </w:numPr>
        <w:spacing w:after="200" w:line="276" w:lineRule="auto"/>
        <w:rPr>
          <w:rFonts w:cstheme="minorHAnsi"/>
        </w:rPr>
      </w:pPr>
      <w:r w:rsidRPr="00BE05EE">
        <w:rPr>
          <w:rFonts w:cstheme="minorHAnsi"/>
        </w:rPr>
        <w:t>Origin-based destination analysis – analysis of Sasines data for 201</w:t>
      </w:r>
      <w:r>
        <w:rPr>
          <w:rFonts w:cstheme="minorHAnsi"/>
        </w:rPr>
        <w:t>4</w:t>
      </w:r>
      <w:r w:rsidRPr="00BE05EE">
        <w:rPr>
          <w:rFonts w:cstheme="minorHAnsi"/>
        </w:rPr>
        <w:t>, 201</w:t>
      </w:r>
      <w:r>
        <w:rPr>
          <w:rFonts w:cstheme="minorHAnsi"/>
        </w:rPr>
        <w:t>5. 2016</w:t>
      </w:r>
      <w:r w:rsidRPr="00BE05EE">
        <w:rPr>
          <w:rFonts w:cstheme="minorHAnsi"/>
        </w:rPr>
        <w:t xml:space="preserve"> and 201</w:t>
      </w:r>
      <w:r>
        <w:rPr>
          <w:rFonts w:cstheme="minorHAnsi"/>
        </w:rPr>
        <w:t>7</w:t>
      </w:r>
      <w:r w:rsidRPr="00BE05EE">
        <w:rPr>
          <w:rFonts w:cstheme="minorHAnsi"/>
        </w:rPr>
        <w:t xml:space="preserve"> to understand the origins of house moves to destinations within the previously defined housing market areas. This indicates levels of self-containment and the significance of functional relationships with neighbouring authorities and market areas;</w:t>
      </w:r>
    </w:p>
    <w:p w14:paraId="2DD18308" w14:textId="287969DF" w:rsidR="007F7403" w:rsidRDefault="007F7403" w:rsidP="007F7403">
      <w:pPr>
        <w:pStyle w:val="ListParagraph"/>
        <w:numPr>
          <w:ilvl w:val="0"/>
          <w:numId w:val="4"/>
        </w:numPr>
        <w:spacing w:after="200" w:line="276" w:lineRule="auto"/>
        <w:rPr>
          <w:rFonts w:cstheme="minorHAnsi"/>
        </w:rPr>
      </w:pPr>
      <w:r w:rsidRPr="00BE05EE">
        <w:rPr>
          <w:rFonts w:cstheme="minorHAnsi"/>
        </w:rPr>
        <w:t>Use of local knowledge – this uses the professional expertise and local knowledge of staff working within the team.</w:t>
      </w:r>
    </w:p>
    <w:p w14:paraId="2875E6C4" w14:textId="77777777" w:rsidR="007F7403" w:rsidRPr="00B15048" w:rsidRDefault="007F7403" w:rsidP="007F7403">
      <w:pPr>
        <w:pStyle w:val="Heading3"/>
        <w:rPr>
          <w:b/>
          <w:bCs/>
          <w:color w:val="auto"/>
        </w:rPr>
      </w:pPr>
      <w:r w:rsidRPr="00B15048">
        <w:rPr>
          <w:b/>
          <w:bCs/>
          <w:color w:val="auto"/>
        </w:rPr>
        <w:lastRenderedPageBreak/>
        <w:t>Cross-boundary Interactions</w:t>
      </w:r>
    </w:p>
    <w:p w14:paraId="4255F6AA" w14:textId="7F2AF36B" w:rsidR="007F7403" w:rsidRPr="007F7403" w:rsidRDefault="007F7403" w:rsidP="007F7403">
      <w:pPr>
        <w:spacing w:after="200" w:line="276" w:lineRule="auto"/>
        <w:rPr>
          <w:rFonts w:cstheme="minorHAnsi"/>
        </w:rPr>
      </w:pPr>
      <w:r w:rsidRPr="00DF77B4">
        <w:rPr>
          <w:rFonts w:cstheme="minorHAnsi"/>
        </w:rPr>
        <w:t xml:space="preserve">No housing market is 100% self-contained as people who can buy property will do so in various places for different reasons. This means that there are also some house moves between housing market areas, including across local authority boundaries. There are specific Housing </w:t>
      </w:r>
      <w:proofErr w:type="gramStart"/>
      <w:r w:rsidRPr="00DF77B4">
        <w:rPr>
          <w:rFonts w:cstheme="minorHAnsi"/>
        </w:rPr>
        <w:t>Sub Market</w:t>
      </w:r>
      <w:proofErr w:type="gramEnd"/>
      <w:r w:rsidRPr="00DF77B4">
        <w:rPr>
          <w:rFonts w:cstheme="minorHAnsi"/>
        </w:rPr>
        <w:t xml:space="preserve"> Areas that have interactions with specific local authorities. The Denny/Bonnybridge Housing </w:t>
      </w:r>
      <w:proofErr w:type="gramStart"/>
      <w:r w:rsidRPr="00DF77B4">
        <w:rPr>
          <w:rFonts w:cstheme="minorHAnsi"/>
        </w:rPr>
        <w:t>Sub Market</w:t>
      </w:r>
      <w:proofErr w:type="gramEnd"/>
      <w:r w:rsidRPr="00DF77B4">
        <w:rPr>
          <w:rFonts w:cstheme="minorHAnsi"/>
        </w:rPr>
        <w:t xml:space="preserve"> area has links to North Lanarkshire and Stirling. The Bo’ness Housing </w:t>
      </w:r>
      <w:proofErr w:type="gramStart"/>
      <w:r w:rsidRPr="00DF77B4">
        <w:rPr>
          <w:rFonts w:cstheme="minorHAnsi"/>
        </w:rPr>
        <w:t>Sub Market</w:t>
      </w:r>
      <w:proofErr w:type="gramEnd"/>
      <w:r w:rsidRPr="00DF77B4">
        <w:rPr>
          <w:rFonts w:cstheme="minorHAnsi"/>
        </w:rPr>
        <w:t xml:space="preserve"> Area has close links to West Lothian.</w:t>
      </w:r>
    </w:p>
    <w:p w14:paraId="22021ECE" w14:textId="77777777" w:rsidR="007F7403" w:rsidRPr="00DF77B4" w:rsidRDefault="007F7403" w:rsidP="007F7403">
      <w:pPr>
        <w:pStyle w:val="Heading3"/>
        <w:rPr>
          <w:b/>
          <w:bCs/>
          <w:color w:val="auto"/>
        </w:rPr>
      </w:pPr>
      <w:r w:rsidRPr="00DF77B4">
        <w:rPr>
          <w:b/>
          <w:bCs/>
          <w:color w:val="auto"/>
        </w:rPr>
        <w:t>Sasines Data Cleansing</w:t>
      </w:r>
    </w:p>
    <w:p w14:paraId="46649C5A" w14:textId="69A925ED" w:rsidR="007F7403" w:rsidRPr="00DF77B4" w:rsidRDefault="007F7403" w:rsidP="00DF77B4">
      <w:pPr>
        <w:rPr>
          <w:rFonts w:cstheme="minorHAnsi"/>
        </w:rPr>
      </w:pPr>
      <w:r w:rsidRPr="00DF77B4">
        <w:rPr>
          <w:rFonts w:cstheme="minorHAnsi"/>
        </w:rPr>
        <w:t>The Sasines data was cleansed prior to the analysis to remove errors so that only those sales categorised as person to person and company new build were included. Only sales over £25,000 and under £1,000,000 were included. Any entry which did not have an origin was also excluded as this made it impossible to determine where the origin of the move was.</w:t>
      </w:r>
    </w:p>
    <w:p w14:paraId="0F640D2A" w14:textId="2150A0C9" w:rsidR="007F7403" w:rsidRPr="00DF77B4" w:rsidRDefault="007F7403" w:rsidP="007F7403">
      <w:pPr>
        <w:pStyle w:val="Heading3"/>
        <w:rPr>
          <w:b/>
          <w:bCs/>
          <w:color w:val="auto"/>
        </w:rPr>
      </w:pPr>
      <w:r w:rsidRPr="00DF77B4">
        <w:rPr>
          <w:rFonts w:eastAsia="Times New Roman"/>
          <w:b/>
          <w:bCs/>
          <w:color w:val="auto"/>
          <w:lang w:eastAsia="en-GB"/>
        </w:rPr>
        <w:t>Origin based containment analysis of Falkirk Council area Update</w:t>
      </w:r>
    </w:p>
    <w:p w14:paraId="0C59C0CE" w14:textId="77777777" w:rsidR="007F7403" w:rsidRPr="007F7403" w:rsidRDefault="007F7403" w:rsidP="007F7403">
      <w:pPr>
        <w:pStyle w:val="ListParagraph"/>
        <w:spacing w:after="0" w:line="240" w:lineRule="auto"/>
        <w:jc w:val="both"/>
        <w:rPr>
          <w:rFonts w:eastAsia="Times New Roman" w:cstheme="minorHAnsi"/>
          <w:b/>
          <w:lang w:eastAsia="en-GB"/>
        </w:rPr>
      </w:pPr>
    </w:p>
    <w:p w14:paraId="6A464951" w14:textId="77777777" w:rsidR="007F7403" w:rsidRPr="00DF77B4" w:rsidRDefault="007F7403" w:rsidP="00A87A7A">
      <w:pPr>
        <w:pStyle w:val="Heading3"/>
        <w:rPr>
          <w:rFonts w:eastAsia="Times New Roman"/>
          <w:b/>
          <w:bCs/>
          <w:color w:val="auto"/>
          <w:lang w:eastAsia="en-GB"/>
        </w:rPr>
      </w:pPr>
      <w:r w:rsidRPr="00DF77B4">
        <w:rPr>
          <w:rFonts w:eastAsia="Times New Roman"/>
          <w:b/>
          <w:bCs/>
          <w:color w:val="auto"/>
          <w:lang w:eastAsia="en-GB"/>
        </w:rPr>
        <w:t>Background</w:t>
      </w:r>
    </w:p>
    <w:p w14:paraId="2577A841" w14:textId="77777777" w:rsidR="007F7403" w:rsidRPr="007F7403" w:rsidRDefault="007F7403" w:rsidP="007F7403">
      <w:pPr>
        <w:spacing w:after="0" w:line="240" w:lineRule="auto"/>
        <w:jc w:val="both"/>
        <w:rPr>
          <w:rFonts w:eastAsia="Times New Roman" w:cstheme="minorHAnsi"/>
          <w:lang w:eastAsia="en-GB"/>
        </w:rPr>
      </w:pPr>
    </w:p>
    <w:p w14:paraId="7A7E9ACE" w14:textId="77777777" w:rsidR="007F7403" w:rsidRPr="007F7403" w:rsidRDefault="007F7403" w:rsidP="007F7403">
      <w:pPr>
        <w:rPr>
          <w:rFonts w:eastAsia="Times New Roman" w:cstheme="minorHAnsi"/>
          <w:lang w:eastAsia="en-GB"/>
        </w:rPr>
      </w:pPr>
      <w:r w:rsidRPr="007F7403">
        <w:rPr>
          <w:rFonts w:eastAsia="Times New Roman" w:cstheme="minorHAnsi"/>
          <w:lang w:eastAsia="en-GB"/>
        </w:rPr>
        <w:t xml:space="preserve">An update of origin based containment was undertaken for </w:t>
      </w:r>
      <w:proofErr w:type="gramStart"/>
      <w:r w:rsidRPr="007F7403">
        <w:rPr>
          <w:rFonts w:eastAsia="Times New Roman" w:cstheme="minorHAnsi"/>
          <w:lang w:eastAsia="en-GB"/>
        </w:rPr>
        <w:t>all of</w:t>
      </w:r>
      <w:proofErr w:type="gramEnd"/>
      <w:r w:rsidRPr="007F7403">
        <w:rPr>
          <w:rFonts w:eastAsia="Times New Roman" w:cstheme="minorHAnsi"/>
          <w:lang w:eastAsia="en-GB"/>
        </w:rPr>
        <w:t xml:space="preserve"> the time period 2006 to 2009</w:t>
      </w:r>
      <w:r w:rsidRPr="00BE05EE">
        <w:rPr>
          <w:vertAlign w:val="superscript"/>
          <w:lang w:eastAsia="en-GB"/>
        </w:rPr>
        <w:footnoteReference w:id="1"/>
      </w:r>
      <w:r w:rsidRPr="007F7403">
        <w:rPr>
          <w:rFonts w:eastAsia="Times New Roman" w:cstheme="minorHAnsi"/>
          <w:lang w:eastAsia="en-GB"/>
        </w:rPr>
        <w:t xml:space="preserve"> and can be seen in Table 3. In total, 69% of house sales in Falkirk Council area come from buyers who are resident in Falkirk Council area therefore this supports the previous analysis by Newhaven which describes Falkirk Council as self-contained. </w:t>
      </w:r>
    </w:p>
    <w:p w14:paraId="6605BED4" w14:textId="77777777" w:rsidR="007F7403" w:rsidRPr="007F7403" w:rsidRDefault="007F7403" w:rsidP="007F7403">
      <w:pPr>
        <w:rPr>
          <w:rFonts w:eastAsia="Times New Roman" w:cstheme="minorHAnsi"/>
          <w:lang w:eastAsia="en-GB"/>
        </w:rPr>
      </w:pPr>
      <w:r w:rsidRPr="007F7403">
        <w:rPr>
          <w:rFonts w:eastAsia="Times New Roman" w:cstheme="minorHAnsi"/>
          <w:lang w:eastAsia="en-GB"/>
        </w:rPr>
        <w:t xml:space="preserve">As shown in the following table, the strongest link with neighbouring Council areas exists between West Lothian and Edinburgh, followed by Stirling and North Lanarkshire. However over 10% of buyers come from other Council areas within Scotland. </w:t>
      </w:r>
    </w:p>
    <w:p w14:paraId="0576BDBC" w14:textId="77777777" w:rsidR="007F7403" w:rsidRPr="007F7403" w:rsidRDefault="007F7403" w:rsidP="007F7403">
      <w:pPr>
        <w:rPr>
          <w:rFonts w:cstheme="minorHAnsi"/>
        </w:rPr>
      </w:pPr>
      <w:r w:rsidRPr="007F7403">
        <w:rPr>
          <w:rFonts w:cstheme="minorHAnsi"/>
        </w:rPr>
        <w:t>In 2014 it was decided to undertake a refresh which would look at Sasines data for 2010-2013. In total 72.7% of sales in the Council area came from people already living in the area which makes the area a self-contained area.  Most sales from other local authorities are from West Lothian, Edinburgh and Stirling.</w:t>
      </w:r>
    </w:p>
    <w:p w14:paraId="37598C4C" w14:textId="2D32591F" w:rsidR="007F7403" w:rsidRDefault="007F7403" w:rsidP="007F7403">
      <w:pPr>
        <w:rPr>
          <w:rFonts w:cstheme="minorHAnsi"/>
        </w:rPr>
      </w:pPr>
      <w:r w:rsidRPr="007F7403">
        <w:rPr>
          <w:rFonts w:cstheme="minorHAnsi"/>
        </w:rPr>
        <w:t>A further update has now taken place for sales between 2014-2017, with this analysis finding that a total of 72.2% of sales in Falkirk came from people already living in the area. Most sales from other local authorities are from West Lothian, Edinburgh and Stirling. Sales from North Lanarkshire have more than halved since the original analysis was undertaken.</w:t>
      </w:r>
    </w:p>
    <w:p w14:paraId="7F91CB55" w14:textId="17326A40" w:rsidR="007F7403" w:rsidRDefault="007F7403" w:rsidP="007F7403">
      <w:pPr>
        <w:rPr>
          <w:rFonts w:cstheme="minorHAnsi"/>
        </w:rPr>
      </w:pPr>
    </w:p>
    <w:p w14:paraId="0422E229" w14:textId="494AE841" w:rsidR="007F7403" w:rsidRDefault="007F7403" w:rsidP="007F7403">
      <w:pPr>
        <w:rPr>
          <w:rFonts w:cstheme="minorHAnsi"/>
        </w:rPr>
      </w:pPr>
    </w:p>
    <w:p w14:paraId="59BCE9A4" w14:textId="3F5C2539" w:rsidR="007F7403" w:rsidRDefault="007F7403" w:rsidP="007F7403">
      <w:pPr>
        <w:rPr>
          <w:rFonts w:cstheme="minorHAnsi"/>
        </w:rPr>
      </w:pPr>
    </w:p>
    <w:p w14:paraId="4D0CE415" w14:textId="0296D472" w:rsidR="007F7403" w:rsidRDefault="007F7403" w:rsidP="007F7403">
      <w:pPr>
        <w:rPr>
          <w:rFonts w:cstheme="minorHAnsi"/>
        </w:rPr>
      </w:pPr>
    </w:p>
    <w:p w14:paraId="6F60D295" w14:textId="707B8EAC" w:rsidR="007F7403" w:rsidRDefault="007F7403" w:rsidP="007F7403">
      <w:pPr>
        <w:rPr>
          <w:rFonts w:cstheme="minorHAnsi"/>
        </w:rPr>
      </w:pPr>
    </w:p>
    <w:p w14:paraId="4F1D46A8" w14:textId="77777777" w:rsidR="007F7403" w:rsidRPr="007F7403" w:rsidRDefault="007F7403" w:rsidP="007F7403">
      <w:pPr>
        <w:rPr>
          <w:rFonts w:cstheme="minorHAnsi"/>
        </w:rPr>
      </w:pPr>
    </w:p>
    <w:p w14:paraId="0167FF87" w14:textId="37A69F7D" w:rsidR="007F7403" w:rsidRDefault="007F7403" w:rsidP="007F7403">
      <w:pPr>
        <w:pStyle w:val="Heading4"/>
        <w:rPr>
          <w:rFonts w:eastAsia="Times New Roman"/>
          <w:color w:val="auto"/>
          <w:lang w:eastAsia="en-GB"/>
        </w:rPr>
      </w:pPr>
      <w:r w:rsidRPr="007F7403">
        <w:rPr>
          <w:color w:val="auto"/>
        </w:rPr>
        <w:lastRenderedPageBreak/>
        <w:t xml:space="preserve">Table 1: </w:t>
      </w:r>
      <w:r w:rsidRPr="007F7403">
        <w:rPr>
          <w:rFonts w:eastAsia="Times New Roman"/>
          <w:color w:val="auto"/>
          <w:lang w:eastAsia="en-GB"/>
        </w:rPr>
        <w:t>Annual number of sales and origin of purchaser by selected local authority area</w:t>
      </w:r>
    </w:p>
    <w:tbl>
      <w:tblPr>
        <w:tblStyle w:val="TableGrid"/>
        <w:tblW w:w="0" w:type="auto"/>
        <w:tblLook w:val="04A0" w:firstRow="1" w:lastRow="0" w:firstColumn="1" w:lastColumn="0" w:noHBand="0" w:noVBand="1"/>
      </w:tblPr>
      <w:tblGrid>
        <w:gridCol w:w="2263"/>
        <w:gridCol w:w="1276"/>
        <w:gridCol w:w="992"/>
        <w:gridCol w:w="1134"/>
        <w:gridCol w:w="993"/>
        <w:gridCol w:w="1134"/>
        <w:gridCol w:w="992"/>
      </w:tblGrid>
      <w:tr w:rsidR="007F7403" w14:paraId="583A06DE" w14:textId="77777777" w:rsidTr="00DF77B4">
        <w:tc>
          <w:tcPr>
            <w:tcW w:w="2263" w:type="dxa"/>
          </w:tcPr>
          <w:p w14:paraId="5F0CAEA1" w14:textId="5BB2FE77" w:rsidR="007F7403" w:rsidRPr="00DF77B4" w:rsidRDefault="007F7403" w:rsidP="007F7403">
            <w:pPr>
              <w:rPr>
                <w:b/>
                <w:bCs/>
                <w:lang w:eastAsia="en-GB"/>
              </w:rPr>
            </w:pPr>
            <w:r w:rsidRPr="00DF77B4">
              <w:rPr>
                <w:b/>
                <w:bCs/>
                <w:lang w:eastAsia="en-GB"/>
              </w:rPr>
              <w:t>Purchaser Council</w:t>
            </w:r>
          </w:p>
        </w:tc>
        <w:tc>
          <w:tcPr>
            <w:tcW w:w="1276" w:type="dxa"/>
          </w:tcPr>
          <w:p w14:paraId="04942EC2" w14:textId="6C2543A2" w:rsidR="007F7403" w:rsidRPr="00DF77B4" w:rsidRDefault="007F7403" w:rsidP="00DF77B4">
            <w:pPr>
              <w:jc w:val="center"/>
              <w:rPr>
                <w:b/>
                <w:bCs/>
                <w:lang w:eastAsia="en-GB"/>
              </w:rPr>
            </w:pPr>
            <w:r w:rsidRPr="00DF77B4">
              <w:rPr>
                <w:b/>
                <w:bCs/>
                <w:lang w:eastAsia="en-GB"/>
              </w:rPr>
              <w:t>2006-09 No.</w:t>
            </w:r>
          </w:p>
        </w:tc>
        <w:tc>
          <w:tcPr>
            <w:tcW w:w="992" w:type="dxa"/>
          </w:tcPr>
          <w:p w14:paraId="43D27AE7" w14:textId="2F902D15" w:rsidR="007F7403" w:rsidRPr="00DF77B4" w:rsidRDefault="007F7403" w:rsidP="00DF77B4">
            <w:pPr>
              <w:jc w:val="center"/>
              <w:rPr>
                <w:b/>
                <w:bCs/>
                <w:lang w:eastAsia="en-GB"/>
              </w:rPr>
            </w:pPr>
            <w:r w:rsidRPr="00DF77B4">
              <w:rPr>
                <w:b/>
                <w:bCs/>
                <w:lang w:eastAsia="en-GB"/>
              </w:rPr>
              <w:t>2006-09 %</w:t>
            </w:r>
          </w:p>
        </w:tc>
        <w:tc>
          <w:tcPr>
            <w:tcW w:w="1134" w:type="dxa"/>
          </w:tcPr>
          <w:p w14:paraId="7CC1D31F" w14:textId="6CA09283" w:rsidR="007F7403" w:rsidRPr="00DF77B4" w:rsidRDefault="007F7403" w:rsidP="00DF77B4">
            <w:pPr>
              <w:jc w:val="center"/>
              <w:rPr>
                <w:b/>
                <w:bCs/>
                <w:lang w:eastAsia="en-GB"/>
              </w:rPr>
            </w:pPr>
            <w:r w:rsidRPr="00DF77B4">
              <w:rPr>
                <w:b/>
                <w:bCs/>
                <w:lang w:eastAsia="en-GB"/>
              </w:rPr>
              <w:t>2010-13 No.</w:t>
            </w:r>
          </w:p>
        </w:tc>
        <w:tc>
          <w:tcPr>
            <w:tcW w:w="993" w:type="dxa"/>
          </w:tcPr>
          <w:p w14:paraId="32CD38FC" w14:textId="52924D45" w:rsidR="007F7403" w:rsidRPr="00DF77B4" w:rsidRDefault="007F7403" w:rsidP="00DF77B4">
            <w:pPr>
              <w:jc w:val="center"/>
              <w:rPr>
                <w:b/>
                <w:bCs/>
                <w:lang w:eastAsia="en-GB"/>
              </w:rPr>
            </w:pPr>
            <w:r w:rsidRPr="00DF77B4">
              <w:rPr>
                <w:b/>
                <w:bCs/>
                <w:lang w:eastAsia="en-GB"/>
              </w:rPr>
              <w:t>2010-13 %</w:t>
            </w:r>
          </w:p>
        </w:tc>
        <w:tc>
          <w:tcPr>
            <w:tcW w:w="1134" w:type="dxa"/>
          </w:tcPr>
          <w:p w14:paraId="060FE49B" w14:textId="6721A4BF" w:rsidR="007F7403" w:rsidRPr="00DF77B4" w:rsidRDefault="007F7403" w:rsidP="00DF77B4">
            <w:pPr>
              <w:jc w:val="center"/>
              <w:rPr>
                <w:b/>
                <w:bCs/>
                <w:lang w:eastAsia="en-GB"/>
              </w:rPr>
            </w:pPr>
            <w:r w:rsidRPr="00DF77B4">
              <w:rPr>
                <w:b/>
                <w:bCs/>
                <w:lang w:eastAsia="en-GB"/>
              </w:rPr>
              <w:t>2014-17 No.</w:t>
            </w:r>
          </w:p>
        </w:tc>
        <w:tc>
          <w:tcPr>
            <w:tcW w:w="992" w:type="dxa"/>
          </w:tcPr>
          <w:p w14:paraId="2AC1C59B" w14:textId="4C0D6568" w:rsidR="007F7403" w:rsidRPr="00DF77B4" w:rsidRDefault="007F7403" w:rsidP="00DF77B4">
            <w:pPr>
              <w:jc w:val="center"/>
              <w:rPr>
                <w:b/>
                <w:bCs/>
                <w:lang w:eastAsia="en-GB"/>
              </w:rPr>
            </w:pPr>
            <w:r w:rsidRPr="00DF77B4">
              <w:rPr>
                <w:b/>
                <w:bCs/>
                <w:lang w:eastAsia="en-GB"/>
              </w:rPr>
              <w:t>2014-17 %</w:t>
            </w:r>
          </w:p>
        </w:tc>
      </w:tr>
      <w:tr w:rsidR="007F7403" w14:paraId="3D062431" w14:textId="77777777" w:rsidTr="00DF77B4">
        <w:tc>
          <w:tcPr>
            <w:tcW w:w="2263" w:type="dxa"/>
          </w:tcPr>
          <w:p w14:paraId="45264AB0" w14:textId="4C8B3927" w:rsidR="007F7403" w:rsidRDefault="007F7403" w:rsidP="007F7403">
            <w:pPr>
              <w:rPr>
                <w:lang w:eastAsia="en-GB"/>
              </w:rPr>
            </w:pPr>
            <w:r w:rsidRPr="002652BD">
              <w:rPr>
                <w:rFonts w:eastAsia="Times New Roman" w:cstheme="minorHAnsi"/>
                <w:color w:val="000000"/>
                <w:lang w:eastAsia="en-GB"/>
              </w:rPr>
              <w:t>Falkirk</w:t>
            </w:r>
          </w:p>
        </w:tc>
        <w:tc>
          <w:tcPr>
            <w:tcW w:w="1276" w:type="dxa"/>
          </w:tcPr>
          <w:p w14:paraId="690C2C2F" w14:textId="141C5A7F" w:rsidR="007F7403" w:rsidRDefault="007F7403" w:rsidP="00DF77B4">
            <w:pPr>
              <w:jc w:val="center"/>
              <w:rPr>
                <w:lang w:eastAsia="en-GB"/>
              </w:rPr>
            </w:pPr>
            <w:r w:rsidRPr="002652BD">
              <w:rPr>
                <w:rFonts w:eastAsia="Times New Roman" w:cstheme="minorHAnsi"/>
                <w:color w:val="000000"/>
                <w:lang w:eastAsia="en-GB"/>
              </w:rPr>
              <w:t>7,998</w:t>
            </w:r>
          </w:p>
        </w:tc>
        <w:tc>
          <w:tcPr>
            <w:tcW w:w="992" w:type="dxa"/>
          </w:tcPr>
          <w:p w14:paraId="1307F6A5" w14:textId="1EC87F00" w:rsidR="007F7403" w:rsidRDefault="007F7403" w:rsidP="00DF77B4">
            <w:pPr>
              <w:jc w:val="center"/>
              <w:rPr>
                <w:lang w:eastAsia="en-GB"/>
              </w:rPr>
            </w:pPr>
            <w:r w:rsidRPr="002652BD">
              <w:rPr>
                <w:rFonts w:eastAsia="Times New Roman" w:cstheme="minorHAnsi"/>
                <w:color w:val="000000"/>
                <w:lang w:eastAsia="en-GB"/>
              </w:rPr>
              <w:t>69.0%</w:t>
            </w:r>
          </w:p>
        </w:tc>
        <w:tc>
          <w:tcPr>
            <w:tcW w:w="1134" w:type="dxa"/>
          </w:tcPr>
          <w:p w14:paraId="338DDD2D" w14:textId="0CBCD3B5" w:rsidR="007F7403" w:rsidRDefault="007F7403" w:rsidP="00DF77B4">
            <w:pPr>
              <w:jc w:val="center"/>
              <w:rPr>
                <w:lang w:eastAsia="en-GB"/>
              </w:rPr>
            </w:pPr>
            <w:r w:rsidRPr="002652BD">
              <w:rPr>
                <w:rFonts w:eastAsia="Times New Roman" w:cstheme="minorHAnsi"/>
                <w:color w:val="000000"/>
                <w:lang w:eastAsia="en-GB"/>
              </w:rPr>
              <w:t>4,724</w:t>
            </w:r>
          </w:p>
        </w:tc>
        <w:tc>
          <w:tcPr>
            <w:tcW w:w="993" w:type="dxa"/>
          </w:tcPr>
          <w:p w14:paraId="646ADAE4" w14:textId="43127CC7" w:rsidR="007F7403" w:rsidRDefault="007F7403" w:rsidP="00DF77B4">
            <w:pPr>
              <w:jc w:val="center"/>
              <w:rPr>
                <w:lang w:eastAsia="en-GB"/>
              </w:rPr>
            </w:pPr>
            <w:r w:rsidRPr="002652BD">
              <w:rPr>
                <w:rFonts w:eastAsia="Times New Roman" w:cstheme="minorHAnsi"/>
                <w:color w:val="000000"/>
                <w:lang w:eastAsia="en-GB"/>
              </w:rPr>
              <w:t>72.7%</w:t>
            </w:r>
          </w:p>
        </w:tc>
        <w:tc>
          <w:tcPr>
            <w:tcW w:w="1134" w:type="dxa"/>
          </w:tcPr>
          <w:p w14:paraId="725C4AF8" w14:textId="3749B6B6" w:rsidR="007F7403" w:rsidRDefault="007F7403" w:rsidP="00DF77B4">
            <w:pPr>
              <w:jc w:val="center"/>
              <w:rPr>
                <w:lang w:eastAsia="en-GB"/>
              </w:rPr>
            </w:pPr>
            <w:r>
              <w:rPr>
                <w:rFonts w:ascii="Calibri" w:hAnsi="Calibri" w:cs="Calibri"/>
                <w:color w:val="000000"/>
              </w:rPr>
              <w:t>7088</w:t>
            </w:r>
          </w:p>
        </w:tc>
        <w:tc>
          <w:tcPr>
            <w:tcW w:w="992" w:type="dxa"/>
          </w:tcPr>
          <w:p w14:paraId="59B50CBF" w14:textId="21F3247C" w:rsidR="007F7403" w:rsidRDefault="007F7403" w:rsidP="00DF77B4">
            <w:pPr>
              <w:jc w:val="center"/>
              <w:rPr>
                <w:lang w:eastAsia="en-GB"/>
              </w:rPr>
            </w:pPr>
            <w:r>
              <w:rPr>
                <w:rFonts w:ascii="Calibri" w:hAnsi="Calibri" w:cs="Calibri"/>
                <w:color w:val="000000"/>
              </w:rPr>
              <w:t>72.2%</w:t>
            </w:r>
          </w:p>
        </w:tc>
      </w:tr>
      <w:tr w:rsidR="007F7403" w14:paraId="19D7904E" w14:textId="77777777" w:rsidTr="00DF77B4">
        <w:tc>
          <w:tcPr>
            <w:tcW w:w="2263" w:type="dxa"/>
          </w:tcPr>
          <w:p w14:paraId="2FA7492A" w14:textId="07CB5DA6" w:rsidR="007F7403" w:rsidRDefault="007F7403" w:rsidP="007F7403">
            <w:pPr>
              <w:rPr>
                <w:lang w:eastAsia="en-GB"/>
              </w:rPr>
            </w:pPr>
            <w:r w:rsidRPr="002652BD">
              <w:rPr>
                <w:rFonts w:eastAsia="Times New Roman" w:cstheme="minorHAnsi"/>
                <w:color w:val="000000"/>
                <w:lang w:eastAsia="en-GB"/>
              </w:rPr>
              <w:t>Rest of Scotland</w:t>
            </w:r>
          </w:p>
        </w:tc>
        <w:tc>
          <w:tcPr>
            <w:tcW w:w="1276" w:type="dxa"/>
          </w:tcPr>
          <w:p w14:paraId="3FAE902C" w14:textId="1FD4706A" w:rsidR="007F7403" w:rsidRDefault="007F7403" w:rsidP="00DF77B4">
            <w:pPr>
              <w:jc w:val="center"/>
              <w:rPr>
                <w:lang w:eastAsia="en-GB"/>
              </w:rPr>
            </w:pPr>
            <w:r w:rsidRPr="002652BD">
              <w:rPr>
                <w:rFonts w:eastAsia="Times New Roman" w:cstheme="minorHAnsi"/>
                <w:color w:val="000000"/>
                <w:lang w:eastAsia="en-GB"/>
              </w:rPr>
              <w:t>1,167</w:t>
            </w:r>
          </w:p>
        </w:tc>
        <w:tc>
          <w:tcPr>
            <w:tcW w:w="992" w:type="dxa"/>
          </w:tcPr>
          <w:p w14:paraId="26DDBF81" w14:textId="33E95472" w:rsidR="007F7403" w:rsidRDefault="007F7403" w:rsidP="00DF77B4">
            <w:pPr>
              <w:jc w:val="center"/>
              <w:rPr>
                <w:lang w:eastAsia="en-GB"/>
              </w:rPr>
            </w:pPr>
            <w:r w:rsidRPr="002652BD">
              <w:rPr>
                <w:rFonts w:eastAsia="Times New Roman" w:cstheme="minorHAnsi"/>
                <w:color w:val="000000"/>
                <w:lang w:eastAsia="en-GB"/>
              </w:rPr>
              <w:t>10.1%</w:t>
            </w:r>
          </w:p>
        </w:tc>
        <w:tc>
          <w:tcPr>
            <w:tcW w:w="1134" w:type="dxa"/>
          </w:tcPr>
          <w:p w14:paraId="24087156" w14:textId="19596D43" w:rsidR="007F7403" w:rsidRDefault="007F7403" w:rsidP="00DF77B4">
            <w:pPr>
              <w:jc w:val="center"/>
              <w:rPr>
                <w:lang w:eastAsia="en-GB"/>
              </w:rPr>
            </w:pPr>
            <w:r w:rsidRPr="002652BD">
              <w:rPr>
                <w:rFonts w:eastAsia="Times New Roman" w:cstheme="minorHAnsi"/>
                <w:color w:val="000000"/>
                <w:lang w:eastAsia="en-GB"/>
              </w:rPr>
              <w:t>634</w:t>
            </w:r>
          </w:p>
        </w:tc>
        <w:tc>
          <w:tcPr>
            <w:tcW w:w="993" w:type="dxa"/>
          </w:tcPr>
          <w:p w14:paraId="72F0AFEE" w14:textId="16C160A2" w:rsidR="007F7403" w:rsidRDefault="007F7403" w:rsidP="00DF77B4">
            <w:pPr>
              <w:jc w:val="center"/>
              <w:rPr>
                <w:lang w:eastAsia="en-GB"/>
              </w:rPr>
            </w:pPr>
            <w:r w:rsidRPr="002652BD">
              <w:rPr>
                <w:rFonts w:eastAsia="Times New Roman" w:cstheme="minorHAnsi"/>
                <w:color w:val="000000"/>
                <w:lang w:eastAsia="en-GB"/>
              </w:rPr>
              <w:t>9.8%</w:t>
            </w:r>
          </w:p>
        </w:tc>
        <w:tc>
          <w:tcPr>
            <w:tcW w:w="1134" w:type="dxa"/>
          </w:tcPr>
          <w:p w14:paraId="169A2670" w14:textId="13A4F0A9" w:rsidR="007F7403" w:rsidRDefault="007F7403" w:rsidP="00DF77B4">
            <w:pPr>
              <w:jc w:val="center"/>
              <w:rPr>
                <w:lang w:eastAsia="en-GB"/>
              </w:rPr>
            </w:pPr>
            <w:r>
              <w:rPr>
                <w:rFonts w:ascii="Calibri" w:hAnsi="Calibri" w:cs="Calibri"/>
                <w:color w:val="000000"/>
              </w:rPr>
              <w:t>1019</w:t>
            </w:r>
          </w:p>
        </w:tc>
        <w:tc>
          <w:tcPr>
            <w:tcW w:w="992" w:type="dxa"/>
          </w:tcPr>
          <w:p w14:paraId="32C15C99" w14:textId="39B133A6" w:rsidR="007F7403" w:rsidRDefault="007F7403" w:rsidP="00DF77B4">
            <w:pPr>
              <w:jc w:val="center"/>
              <w:rPr>
                <w:lang w:eastAsia="en-GB"/>
              </w:rPr>
            </w:pPr>
            <w:r>
              <w:rPr>
                <w:rFonts w:ascii="Calibri" w:hAnsi="Calibri" w:cs="Calibri"/>
                <w:color w:val="000000"/>
              </w:rPr>
              <w:t>10.4%</w:t>
            </w:r>
          </w:p>
        </w:tc>
      </w:tr>
      <w:tr w:rsidR="007F7403" w14:paraId="7B99A983" w14:textId="77777777" w:rsidTr="00DF77B4">
        <w:tc>
          <w:tcPr>
            <w:tcW w:w="2263" w:type="dxa"/>
          </w:tcPr>
          <w:p w14:paraId="7DC7B5C2" w14:textId="5E17403E" w:rsidR="007F7403" w:rsidRDefault="007F7403" w:rsidP="007F7403">
            <w:pPr>
              <w:rPr>
                <w:lang w:eastAsia="en-GB"/>
              </w:rPr>
            </w:pPr>
            <w:r w:rsidRPr="002652BD">
              <w:rPr>
                <w:rFonts w:eastAsia="Times New Roman" w:cstheme="minorHAnsi"/>
                <w:color w:val="000000"/>
                <w:lang w:eastAsia="en-GB"/>
              </w:rPr>
              <w:t>Edinburgh</w:t>
            </w:r>
          </w:p>
        </w:tc>
        <w:tc>
          <w:tcPr>
            <w:tcW w:w="1276" w:type="dxa"/>
          </w:tcPr>
          <w:p w14:paraId="7194D7DF" w14:textId="3D087BAA" w:rsidR="007F7403" w:rsidRDefault="007F7403" w:rsidP="00DF77B4">
            <w:pPr>
              <w:jc w:val="center"/>
              <w:rPr>
                <w:lang w:eastAsia="en-GB"/>
              </w:rPr>
            </w:pPr>
            <w:r w:rsidRPr="002652BD">
              <w:rPr>
                <w:rFonts w:eastAsia="Times New Roman" w:cstheme="minorHAnsi"/>
                <w:color w:val="000000"/>
                <w:lang w:eastAsia="en-GB"/>
              </w:rPr>
              <w:t>615</w:t>
            </w:r>
          </w:p>
        </w:tc>
        <w:tc>
          <w:tcPr>
            <w:tcW w:w="992" w:type="dxa"/>
          </w:tcPr>
          <w:p w14:paraId="762A84B6" w14:textId="097D0D3E" w:rsidR="007F7403" w:rsidRDefault="007F7403" w:rsidP="00DF77B4">
            <w:pPr>
              <w:jc w:val="center"/>
              <w:rPr>
                <w:lang w:eastAsia="en-GB"/>
              </w:rPr>
            </w:pPr>
            <w:r w:rsidRPr="002652BD">
              <w:rPr>
                <w:rFonts w:eastAsia="Times New Roman" w:cstheme="minorHAnsi"/>
                <w:color w:val="000000"/>
                <w:lang w:eastAsia="en-GB"/>
              </w:rPr>
              <w:t>5.3%</w:t>
            </w:r>
          </w:p>
        </w:tc>
        <w:tc>
          <w:tcPr>
            <w:tcW w:w="1134" w:type="dxa"/>
          </w:tcPr>
          <w:p w14:paraId="58324050" w14:textId="1D71A6E4" w:rsidR="007F7403" w:rsidRDefault="007F7403" w:rsidP="00DF77B4">
            <w:pPr>
              <w:jc w:val="center"/>
              <w:rPr>
                <w:lang w:eastAsia="en-GB"/>
              </w:rPr>
            </w:pPr>
            <w:r w:rsidRPr="002652BD">
              <w:rPr>
                <w:rFonts w:eastAsia="Times New Roman" w:cstheme="minorHAnsi"/>
                <w:color w:val="000000"/>
                <w:lang w:eastAsia="en-GB"/>
              </w:rPr>
              <w:t>224</w:t>
            </w:r>
          </w:p>
        </w:tc>
        <w:tc>
          <w:tcPr>
            <w:tcW w:w="993" w:type="dxa"/>
          </w:tcPr>
          <w:p w14:paraId="1ADA2331" w14:textId="2C1C487A" w:rsidR="007F7403" w:rsidRDefault="007F7403" w:rsidP="00DF77B4">
            <w:pPr>
              <w:jc w:val="center"/>
              <w:rPr>
                <w:lang w:eastAsia="en-GB"/>
              </w:rPr>
            </w:pPr>
            <w:r w:rsidRPr="002652BD">
              <w:rPr>
                <w:rFonts w:eastAsia="Times New Roman" w:cstheme="minorHAnsi"/>
                <w:color w:val="000000"/>
                <w:lang w:eastAsia="en-GB"/>
              </w:rPr>
              <w:t>3.4%</w:t>
            </w:r>
          </w:p>
        </w:tc>
        <w:tc>
          <w:tcPr>
            <w:tcW w:w="1134" w:type="dxa"/>
          </w:tcPr>
          <w:p w14:paraId="3D84D861" w14:textId="54154D61" w:rsidR="007F7403" w:rsidRDefault="007F7403" w:rsidP="00DF77B4">
            <w:pPr>
              <w:jc w:val="center"/>
              <w:rPr>
                <w:lang w:eastAsia="en-GB"/>
              </w:rPr>
            </w:pPr>
            <w:r>
              <w:rPr>
                <w:rFonts w:ascii="Calibri" w:hAnsi="Calibri" w:cs="Calibri"/>
                <w:color w:val="000000"/>
              </w:rPr>
              <w:t>407</w:t>
            </w:r>
          </w:p>
        </w:tc>
        <w:tc>
          <w:tcPr>
            <w:tcW w:w="992" w:type="dxa"/>
          </w:tcPr>
          <w:p w14:paraId="2C6DE951" w14:textId="50467301" w:rsidR="007F7403" w:rsidRDefault="007F7403" w:rsidP="00DF77B4">
            <w:pPr>
              <w:jc w:val="center"/>
              <w:rPr>
                <w:lang w:eastAsia="en-GB"/>
              </w:rPr>
            </w:pPr>
            <w:r>
              <w:rPr>
                <w:rFonts w:ascii="Calibri" w:hAnsi="Calibri" w:cs="Calibri"/>
                <w:color w:val="000000"/>
              </w:rPr>
              <w:t>4.1%</w:t>
            </w:r>
          </w:p>
        </w:tc>
      </w:tr>
      <w:tr w:rsidR="007F7403" w14:paraId="6B9A29BF" w14:textId="77777777" w:rsidTr="00DF77B4">
        <w:tc>
          <w:tcPr>
            <w:tcW w:w="2263" w:type="dxa"/>
          </w:tcPr>
          <w:p w14:paraId="55FA3B23" w14:textId="144075C2" w:rsidR="007F7403" w:rsidRPr="002652BD" w:rsidRDefault="007F7403" w:rsidP="007F7403">
            <w:pPr>
              <w:rPr>
                <w:rFonts w:eastAsia="Times New Roman" w:cstheme="minorHAnsi"/>
                <w:color w:val="000000"/>
                <w:lang w:eastAsia="en-GB"/>
              </w:rPr>
            </w:pPr>
            <w:r w:rsidRPr="002652BD">
              <w:rPr>
                <w:rFonts w:eastAsia="Times New Roman" w:cstheme="minorHAnsi"/>
                <w:color w:val="000000"/>
                <w:lang w:eastAsia="en-GB"/>
              </w:rPr>
              <w:t>West Lothian</w:t>
            </w:r>
          </w:p>
        </w:tc>
        <w:tc>
          <w:tcPr>
            <w:tcW w:w="1276" w:type="dxa"/>
          </w:tcPr>
          <w:p w14:paraId="7BBB93EA" w14:textId="07F24036"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567</w:t>
            </w:r>
          </w:p>
        </w:tc>
        <w:tc>
          <w:tcPr>
            <w:tcW w:w="992" w:type="dxa"/>
          </w:tcPr>
          <w:p w14:paraId="66266EEB" w14:textId="73961BF3"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4.9%</w:t>
            </w:r>
          </w:p>
        </w:tc>
        <w:tc>
          <w:tcPr>
            <w:tcW w:w="1134" w:type="dxa"/>
          </w:tcPr>
          <w:p w14:paraId="6B7A1166" w14:textId="60BB2C4A"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366</w:t>
            </w:r>
          </w:p>
        </w:tc>
        <w:tc>
          <w:tcPr>
            <w:tcW w:w="993" w:type="dxa"/>
          </w:tcPr>
          <w:p w14:paraId="44FA62B3" w14:textId="079F0C32"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5.6%</w:t>
            </w:r>
          </w:p>
        </w:tc>
        <w:tc>
          <w:tcPr>
            <w:tcW w:w="1134" w:type="dxa"/>
          </w:tcPr>
          <w:p w14:paraId="54A9558D" w14:textId="7BA3908F" w:rsidR="007F7403" w:rsidRDefault="007F7403" w:rsidP="00DF77B4">
            <w:pPr>
              <w:jc w:val="center"/>
              <w:rPr>
                <w:rFonts w:ascii="Calibri" w:hAnsi="Calibri" w:cs="Calibri"/>
                <w:color w:val="000000"/>
              </w:rPr>
            </w:pPr>
            <w:r>
              <w:rPr>
                <w:rFonts w:ascii="Calibri" w:hAnsi="Calibri" w:cs="Calibri"/>
                <w:color w:val="000000"/>
              </w:rPr>
              <w:t>464</w:t>
            </w:r>
          </w:p>
        </w:tc>
        <w:tc>
          <w:tcPr>
            <w:tcW w:w="992" w:type="dxa"/>
          </w:tcPr>
          <w:p w14:paraId="7F43EAF8" w14:textId="4CEDB935" w:rsidR="007F7403" w:rsidRDefault="007F7403" w:rsidP="00DF77B4">
            <w:pPr>
              <w:jc w:val="center"/>
              <w:rPr>
                <w:rFonts w:ascii="Calibri" w:hAnsi="Calibri" w:cs="Calibri"/>
                <w:color w:val="000000"/>
              </w:rPr>
            </w:pPr>
            <w:r>
              <w:rPr>
                <w:rFonts w:ascii="Calibri" w:hAnsi="Calibri" w:cs="Calibri"/>
                <w:color w:val="000000"/>
              </w:rPr>
              <w:t>4.7%</w:t>
            </w:r>
          </w:p>
        </w:tc>
      </w:tr>
      <w:tr w:rsidR="007F7403" w14:paraId="297B81D0" w14:textId="77777777" w:rsidTr="00DF77B4">
        <w:tc>
          <w:tcPr>
            <w:tcW w:w="2263" w:type="dxa"/>
          </w:tcPr>
          <w:p w14:paraId="464C8896" w14:textId="022FD7C4" w:rsidR="007F7403" w:rsidRPr="002652BD" w:rsidRDefault="007F7403" w:rsidP="007F7403">
            <w:pPr>
              <w:rPr>
                <w:rFonts w:eastAsia="Times New Roman" w:cstheme="minorHAnsi"/>
                <w:color w:val="000000"/>
                <w:lang w:eastAsia="en-GB"/>
              </w:rPr>
            </w:pPr>
            <w:r w:rsidRPr="002652BD">
              <w:rPr>
                <w:rFonts w:eastAsia="Times New Roman" w:cstheme="minorHAnsi"/>
                <w:color w:val="000000"/>
                <w:lang w:eastAsia="en-GB"/>
              </w:rPr>
              <w:t>North Lanarkshire</w:t>
            </w:r>
          </w:p>
        </w:tc>
        <w:tc>
          <w:tcPr>
            <w:tcW w:w="1276" w:type="dxa"/>
          </w:tcPr>
          <w:p w14:paraId="0120C720" w14:textId="00752D75"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449</w:t>
            </w:r>
          </w:p>
        </w:tc>
        <w:tc>
          <w:tcPr>
            <w:tcW w:w="992" w:type="dxa"/>
          </w:tcPr>
          <w:p w14:paraId="6183C7ED" w14:textId="2A5D9E46"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3.9%</w:t>
            </w:r>
          </w:p>
        </w:tc>
        <w:tc>
          <w:tcPr>
            <w:tcW w:w="1134" w:type="dxa"/>
          </w:tcPr>
          <w:p w14:paraId="1799BCDF" w14:textId="648DB9D0"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175</w:t>
            </w:r>
          </w:p>
        </w:tc>
        <w:tc>
          <w:tcPr>
            <w:tcW w:w="993" w:type="dxa"/>
          </w:tcPr>
          <w:p w14:paraId="7FEF79EB" w14:textId="2C1E5E2E"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2.7%</w:t>
            </w:r>
          </w:p>
        </w:tc>
        <w:tc>
          <w:tcPr>
            <w:tcW w:w="1134" w:type="dxa"/>
          </w:tcPr>
          <w:p w14:paraId="21253471" w14:textId="240FE560" w:rsidR="007F7403" w:rsidRDefault="007F7403" w:rsidP="00DF77B4">
            <w:pPr>
              <w:jc w:val="center"/>
              <w:rPr>
                <w:rFonts w:ascii="Calibri" w:hAnsi="Calibri" w:cs="Calibri"/>
                <w:color w:val="000000"/>
              </w:rPr>
            </w:pPr>
            <w:r>
              <w:rPr>
                <w:rFonts w:ascii="Calibri" w:hAnsi="Calibri" w:cs="Calibri"/>
                <w:color w:val="000000"/>
              </w:rPr>
              <w:t>166</w:t>
            </w:r>
          </w:p>
        </w:tc>
        <w:tc>
          <w:tcPr>
            <w:tcW w:w="992" w:type="dxa"/>
          </w:tcPr>
          <w:p w14:paraId="2B59A77F" w14:textId="10DF657A" w:rsidR="007F7403" w:rsidRDefault="007F7403" w:rsidP="00DF77B4">
            <w:pPr>
              <w:jc w:val="center"/>
              <w:rPr>
                <w:rFonts w:ascii="Calibri" w:hAnsi="Calibri" w:cs="Calibri"/>
                <w:color w:val="000000"/>
              </w:rPr>
            </w:pPr>
            <w:r>
              <w:rPr>
                <w:rFonts w:ascii="Calibri" w:hAnsi="Calibri" w:cs="Calibri"/>
                <w:color w:val="000000"/>
              </w:rPr>
              <w:t>1.7%</w:t>
            </w:r>
          </w:p>
        </w:tc>
      </w:tr>
      <w:tr w:rsidR="007F7403" w14:paraId="26A68614" w14:textId="77777777" w:rsidTr="00DF77B4">
        <w:tc>
          <w:tcPr>
            <w:tcW w:w="2263" w:type="dxa"/>
          </w:tcPr>
          <w:p w14:paraId="64D84E9F" w14:textId="5D7272B9" w:rsidR="007F7403" w:rsidRPr="002652BD" w:rsidRDefault="007F7403" w:rsidP="007F7403">
            <w:pPr>
              <w:rPr>
                <w:rFonts w:eastAsia="Times New Roman" w:cstheme="minorHAnsi"/>
                <w:color w:val="000000"/>
                <w:lang w:eastAsia="en-GB"/>
              </w:rPr>
            </w:pPr>
            <w:r w:rsidRPr="002652BD">
              <w:rPr>
                <w:rFonts w:eastAsia="Times New Roman" w:cstheme="minorHAnsi"/>
                <w:color w:val="000000"/>
                <w:lang w:eastAsia="en-GB"/>
              </w:rPr>
              <w:t>Stirling</w:t>
            </w:r>
          </w:p>
        </w:tc>
        <w:tc>
          <w:tcPr>
            <w:tcW w:w="1276" w:type="dxa"/>
          </w:tcPr>
          <w:p w14:paraId="594D1CA0" w14:textId="0AA80BA9"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397</w:t>
            </w:r>
          </w:p>
        </w:tc>
        <w:tc>
          <w:tcPr>
            <w:tcW w:w="992" w:type="dxa"/>
          </w:tcPr>
          <w:p w14:paraId="7E50116B" w14:textId="6BD40DCF"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3.4%</w:t>
            </w:r>
          </w:p>
        </w:tc>
        <w:tc>
          <w:tcPr>
            <w:tcW w:w="1134" w:type="dxa"/>
          </w:tcPr>
          <w:p w14:paraId="60B93A45" w14:textId="4122BFFA"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215</w:t>
            </w:r>
          </w:p>
        </w:tc>
        <w:tc>
          <w:tcPr>
            <w:tcW w:w="993" w:type="dxa"/>
          </w:tcPr>
          <w:p w14:paraId="3CFD4168" w14:textId="6D2BA45F"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3.3%</w:t>
            </w:r>
          </w:p>
        </w:tc>
        <w:tc>
          <w:tcPr>
            <w:tcW w:w="1134" w:type="dxa"/>
          </w:tcPr>
          <w:p w14:paraId="5AC3128A" w14:textId="3E4DC673" w:rsidR="007F7403" w:rsidRDefault="007F7403" w:rsidP="00DF77B4">
            <w:pPr>
              <w:jc w:val="center"/>
              <w:rPr>
                <w:rFonts w:ascii="Calibri" w:hAnsi="Calibri" w:cs="Calibri"/>
                <w:color w:val="000000"/>
              </w:rPr>
            </w:pPr>
            <w:r>
              <w:rPr>
                <w:rFonts w:ascii="Calibri" w:hAnsi="Calibri" w:cs="Calibri"/>
                <w:color w:val="000000"/>
              </w:rPr>
              <w:t>338</w:t>
            </w:r>
          </w:p>
        </w:tc>
        <w:tc>
          <w:tcPr>
            <w:tcW w:w="992" w:type="dxa"/>
          </w:tcPr>
          <w:p w14:paraId="08AB1738" w14:textId="48C30005" w:rsidR="007F7403" w:rsidRDefault="007F7403" w:rsidP="00DF77B4">
            <w:pPr>
              <w:jc w:val="center"/>
              <w:rPr>
                <w:rFonts w:ascii="Calibri" w:hAnsi="Calibri" w:cs="Calibri"/>
                <w:color w:val="000000"/>
              </w:rPr>
            </w:pPr>
            <w:r>
              <w:rPr>
                <w:rFonts w:ascii="Calibri" w:hAnsi="Calibri" w:cs="Calibri"/>
                <w:color w:val="000000"/>
              </w:rPr>
              <w:t>3.4%</w:t>
            </w:r>
          </w:p>
        </w:tc>
      </w:tr>
      <w:tr w:rsidR="007F7403" w14:paraId="36C8F52E" w14:textId="77777777" w:rsidTr="00DF77B4">
        <w:tc>
          <w:tcPr>
            <w:tcW w:w="2263" w:type="dxa"/>
          </w:tcPr>
          <w:p w14:paraId="56A6877A" w14:textId="5672C0F9" w:rsidR="007F7403" w:rsidRPr="002652BD" w:rsidRDefault="007F7403" w:rsidP="007F7403">
            <w:pPr>
              <w:rPr>
                <w:rFonts w:eastAsia="Times New Roman" w:cstheme="minorHAnsi"/>
                <w:color w:val="000000"/>
                <w:lang w:eastAsia="en-GB"/>
              </w:rPr>
            </w:pPr>
            <w:r w:rsidRPr="002652BD">
              <w:rPr>
                <w:rFonts w:eastAsia="Times New Roman" w:cstheme="minorHAnsi"/>
                <w:color w:val="000000"/>
                <w:lang w:eastAsia="en-GB"/>
              </w:rPr>
              <w:t>Rest of UK</w:t>
            </w:r>
          </w:p>
        </w:tc>
        <w:tc>
          <w:tcPr>
            <w:tcW w:w="1276" w:type="dxa"/>
          </w:tcPr>
          <w:p w14:paraId="4DA83207" w14:textId="0B61F371"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338</w:t>
            </w:r>
          </w:p>
        </w:tc>
        <w:tc>
          <w:tcPr>
            <w:tcW w:w="992" w:type="dxa"/>
          </w:tcPr>
          <w:p w14:paraId="48942729" w14:textId="47C4E781"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2.9%</w:t>
            </w:r>
          </w:p>
        </w:tc>
        <w:tc>
          <w:tcPr>
            <w:tcW w:w="1134" w:type="dxa"/>
          </w:tcPr>
          <w:p w14:paraId="76AF29F5" w14:textId="67F21534"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132</w:t>
            </w:r>
          </w:p>
        </w:tc>
        <w:tc>
          <w:tcPr>
            <w:tcW w:w="993" w:type="dxa"/>
          </w:tcPr>
          <w:p w14:paraId="38E98295" w14:textId="4D2467D2"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2.0%</w:t>
            </w:r>
          </w:p>
        </w:tc>
        <w:tc>
          <w:tcPr>
            <w:tcW w:w="1134" w:type="dxa"/>
          </w:tcPr>
          <w:p w14:paraId="71435B3A" w14:textId="08AFCDC4" w:rsidR="007F7403" w:rsidRDefault="007F7403" w:rsidP="00DF77B4">
            <w:pPr>
              <w:jc w:val="center"/>
              <w:rPr>
                <w:rFonts w:ascii="Calibri" w:hAnsi="Calibri" w:cs="Calibri"/>
                <w:color w:val="000000"/>
              </w:rPr>
            </w:pPr>
            <w:r>
              <w:rPr>
                <w:rFonts w:ascii="Calibri" w:hAnsi="Calibri" w:cs="Calibri"/>
                <w:color w:val="000000"/>
              </w:rPr>
              <w:t>279</w:t>
            </w:r>
          </w:p>
        </w:tc>
        <w:tc>
          <w:tcPr>
            <w:tcW w:w="992" w:type="dxa"/>
          </w:tcPr>
          <w:p w14:paraId="400FBCC0" w14:textId="5B758FF3" w:rsidR="007F7403" w:rsidRDefault="007F7403" w:rsidP="00DF77B4">
            <w:pPr>
              <w:jc w:val="center"/>
              <w:rPr>
                <w:rFonts w:ascii="Calibri" w:hAnsi="Calibri" w:cs="Calibri"/>
                <w:color w:val="000000"/>
              </w:rPr>
            </w:pPr>
            <w:r>
              <w:rPr>
                <w:rFonts w:ascii="Calibri" w:hAnsi="Calibri" w:cs="Calibri"/>
                <w:color w:val="000000"/>
              </w:rPr>
              <w:t>2.8%</w:t>
            </w:r>
          </w:p>
        </w:tc>
      </w:tr>
      <w:tr w:rsidR="007F7403" w14:paraId="63C8CE58" w14:textId="77777777" w:rsidTr="00DF77B4">
        <w:tc>
          <w:tcPr>
            <w:tcW w:w="2263" w:type="dxa"/>
          </w:tcPr>
          <w:p w14:paraId="2EFF9755" w14:textId="29A10353" w:rsidR="007F7403" w:rsidRPr="002652BD" w:rsidRDefault="007F7403" w:rsidP="007F7403">
            <w:pPr>
              <w:rPr>
                <w:rFonts w:eastAsia="Times New Roman" w:cstheme="minorHAnsi"/>
                <w:color w:val="000000"/>
                <w:lang w:eastAsia="en-GB"/>
              </w:rPr>
            </w:pPr>
            <w:r w:rsidRPr="002652BD">
              <w:rPr>
                <w:rFonts w:eastAsia="Times New Roman" w:cstheme="minorHAnsi"/>
                <w:color w:val="000000"/>
                <w:lang w:eastAsia="en-GB"/>
              </w:rPr>
              <w:t>Outside UK</w:t>
            </w:r>
          </w:p>
        </w:tc>
        <w:tc>
          <w:tcPr>
            <w:tcW w:w="1276" w:type="dxa"/>
          </w:tcPr>
          <w:p w14:paraId="1E5D5FBD" w14:textId="21095C93"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48</w:t>
            </w:r>
          </w:p>
        </w:tc>
        <w:tc>
          <w:tcPr>
            <w:tcW w:w="992" w:type="dxa"/>
          </w:tcPr>
          <w:p w14:paraId="7F2E908D" w14:textId="7F312992"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0.4%</w:t>
            </w:r>
          </w:p>
        </w:tc>
        <w:tc>
          <w:tcPr>
            <w:tcW w:w="1134" w:type="dxa"/>
          </w:tcPr>
          <w:p w14:paraId="386C6896" w14:textId="1C14D2C2"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25</w:t>
            </w:r>
          </w:p>
        </w:tc>
        <w:tc>
          <w:tcPr>
            <w:tcW w:w="993" w:type="dxa"/>
          </w:tcPr>
          <w:p w14:paraId="31F5039B" w14:textId="65E614BF" w:rsidR="007F7403" w:rsidRPr="002652BD" w:rsidRDefault="007F7403" w:rsidP="00DF77B4">
            <w:pPr>
              <w:jc w:val="center"/>
              <w:rPr>
                <w:rFonts w:eastAsia="Times New Roman" w:cstheme="minorHAnsi"/>
                <w:color w:val="000000"/>
                <w:lang w:eastAsia="en-GB"/>
              </w:rPr>
            </w:pPr>
            <w:r w:rsidRPr="002652BD">
              <w:rPr>
                <w:rFonts w:eastAsia="Times New Roman" w:cstheme="minorHAnsi"/>
                <w:color w:val="000000"/>
                <w:lang w:eastAsia="en-GB"/>
              </w:rPr>
              <w:t>0.4%</w:t>
            </w:r>
          </w:p>
        </w:tc>
        <w:tc>
          <w:tcPr>
            <w:tcW w:w="1134" w:type="dxa"/>
          </w:tcPr>
          <w:p w14:paraId="1F98253B" w14:textId="46B6CD09" w:rsidR="007F7403" w:rsidRDefault="007F7403" w:rsidP="00DF77B4">
            <w:pPr>
              <w:jc w:val="center"/>
              <w:rPr>
                <w:rFonts w:ascii="Calibri" w:hAnsi="Calibri" w:cs="Calibri"/>
                <w:color w:val="000000"/>
              </w:rPr>
            </w:pPr>
            <w:r>
              <w:rPr>
                <w:rFonts w:ascii="Calibri" w:hAnsi="Calibri" w:cs="Calibri"/>
                <w:color w:val="000000"/>
              </w:rPr>
              <w:t>52</w:t>
            </w:r>
          </w:p>
        </w:tc>
        <w:tc>
          <w:tcPr>
            <w:tcW w:w="992" w:type="dxa"/>
          </w:tcPr>
          <w:p w14:paraId="2AD90CB2" w14:textId="6DE4B074" w:rsidR="007F7403" w:rsidRDefault="007F7403" w:rsidP="00DF77B4">
            <w:pPr>
              <w:jc w:val="center"/>
              <w:rPr>
                <w:rFonts w:ascii="Calibri" w:hAnsi="Calibri" w:cs="Calibri"/>
                <w:color w:val="000000"/>
              </w:rPr>
            </w:pPr>
            <w:r>
              <w:rPr>
                <w:rFonts w:ascii="Calibri" w:hAnsi="Calibri" w:cs="Calibri"/>
                <w:color w:val="000000"/>
              </w:rPr>
              <w:t>0.5%</w:t>
            </w:r>
          </w:p>
        </w:tc>
      </w:tr>
      <w:tr w:rsidR="007F7403" w14:paraId="375AA1C3" w14:textId="77777777" w:rsidTr="00DF77B4">
        <w:tc>
          <w:tcPr>
            <w:tcW w:w="2263" w:type="dxa"/>
          </w:tcPr>
          <w:p w14:paraId="0340F538" w14:textId="2AFC9959" w:rsidR="007F7403" w:rsidRPr="002652BD" w:rsidRDefault="007F7403" w:rsidP="007F7403">
            <w:pPr>
              <w:rPr>
                <w:rFonts w:eastAsia="Times New Roman" w:cstheme="minorHAnsi"/>
                <w:color w:val="000000"/>
                <w:lang w:eastAsia="en-GB"/>
              </w:rPr>
            </w:pPr>
            <w:r w:rsidRPr="002652BD">
              <w:rPr>
                <w:rFonts w:eastAsia="Times New Roman" w:cstheme="minorHAnsi"/>
                <w:b/>
                <w:bCs/>
                <w:color w:val="000000"/>
                <w:lang w:eastAsia="en-GB"/>
              </w:rPr>
              <w:t>Total</w:t>
            </w:r>
          </w:p>
        </w:tc>
        <w:tc>
          <w:tcPr>
            <w:tcW w:w="1276" w:type="dxa"/>
          </w:tcPr>
          <w:p w14:paraId="6E0C1213" w14:textId="3793A733" w:rsidR="007F7403" w:rsidRPr="002652BD" w:rsidRDefault="007F7403" w:rsidP="00DF77B4">
            <w:pPr>
              <w:jc w:val="center"/>
              <w:rPr>
                <w:rFonts w:eastAsia="Times New Roman" w:cstheme="minorHAnsi"/>
                <w:color w:val="000000"/>
                <w:lang w:eastAsia="en-GB"/>
              </w:rPr>
            </w:pPr>
            <w:r w:rsidRPr="002652BD">
              <w:rPr>
                <w:rFonts w:eastAsia="Times New Roman" w:cstheme="minorHAnsi"/>
                <w:b/>
                <w:bCs/>
                <w:color w:val="000000"/>
                <w:lang w:eastAsia="en-GB"/>
              </w:rPr>
              <w:t>11,586</w:t>
            </w:r>
          </w:p>
        </w:tc>
        <w:tc>
          <w:tcPr>
            <w:tcW w:w="992" w:type="dxa"/>
          </w:tcPr>
          <w:p w14:paraId="601E5919" w14:textId="36822E63" w:rsidR="007F7403" w:rsidRPr="002652BD" w:rsidRDefault="007F7403" w:rsidP="00DF77B4">
            <w:pPr>
              <w:jc w:val="center"/>
              <w:rPr>
                <w:rFonts w:eastAsia="Times New Roman" w:cstheme="minorHAnsi"/>
                <w:color w:val="000000"/>
                <w:lang w:eastAsia="en-GB"/>
              </w:rPr>
            </w:pPr>
            <w:r w:rsidRPr="002652BD">
              <w:rPr>
                <w:rFonts w:eastAsia="Times New Roman" w:cstheme="minorHAnsi"/>
                <w:b/>
                <w:bCs/>
                <w:color w:val="000000"/>
                <w:lang w:eastAsia="en-GB"/>
              </w:rPr>
              <w:t>100%</w:t>
            </w:r>
          </w:p>
        </w:tc>
        <w:tc>
          <w:tcPr>
            <w:tcW w:w="1134" w:type="dxa"/>
          </w:tcPr>
          <w:p w14:paraId="074CFEDC" w14:textId="3B3A6428" w:rsidR="007F7403" w:rsidRPr="002652BD" w:rsidRDefault="007F7403" w:rsidP="00DF77B4">
            <w:pPr>
              <w:jc w:val="center"/>
              <w:rPr>
                <w:rFonts w:eastAsia="Times New Roman" w:cstheme="minorHAnsi"/>
                <w:color w:val="000000"/>
                <w:lang w:eastAsia="en-GB"/>
              </w:rPr>
            </w:pPr>
            <w:r w:rsidRPr="002652BD">
              <w:rPr>
                <w:rFonts w:eastAsia="Times New Roman" w:cstheme="minorHAnsi"/>
                <w:b/>
                <w:bCs/>
                <w:color w:val="000000"/>
                <w:lang w:eastAsia="en-GB"/>
              </w:rPr>
              <w:t>6,495</w:t>
            </w:r>
          </w:p>
        </w:tc>
        <w:tc>
          <w:tcPr>
            <w:tcW w:w="993" w:type="dxa"/>
          </w:tcPr>
          <w:p w14:paraId="2FD9EB2E" w14:textId="4A21245A" w:rsidR="007F7403" w:rsidRPr="002652BD" w:rsidRDefault="007F7403" w:rsidP="00DF77B4">
            <w:pPr>
              <w:jc w:val="center"/>
              <w:rPr>
                <w:rFonts w:eastAsia="Times New Roman" w:cstheme="minorHAnsi"/>
                <w:color w:val="000000"/>
                <w:lang w:eastAsia="en-GB"/>
              </w:rPr>
            </w:pPr>
            <w:r w:rsidRPr="002652BD">
              <w:rPr>
                <w:rFonts w:eastAsia="Times New Roman" w:cstheme="minorHAnsi"/>
                <w:b/>
                <w:bCs/>
                <w:color w:val="000000"/>
                <w:lang w:eastAsia="en-GB"/>
              </w:rPr>
              <w:t>100%</w:t>
            </w:r>
          </w:p>
        </w:tc>
        <w:tc>
          <w:tcPr>
            <w:tcW w:w="1134" w:type="dxa"/>
          </w:tcPr>
          <w:p w14:paraId="56201276" w14:textId="747C7805" w:rsidR="007F7403" w:rsidRDefault="007F7403" w:rsidP="00DF77B4">
            <w:pPr>
              <w:jc w:val="center"/>
              <w:rPr>
                <w:rFonts w:ascii="Calibri" w:hAnsi="Calibri" w:cs="Calibri"/>
                <w:color w:val="000000"/>
              </w:rPr>
            </w:pPr>
            <w:r w:rsidRPr="00D93B89">
              <w:rPr>
                <w:rFonts w:ascii="Calibri" w:hAnsi="Calibri" w:cs="Calibri"/>
                <w:b/>
                <w:bCs/>
                <w:color w:val="000000"/>
              </w:rPr>
              <w:t>9813</w:t>
            </w:r>
          </w:p>
        </w:tc>
        <w:tc>
          <w:tcPr>
            <w:tcW w:w="992" w:type="dxa"/>
          </w:tcPr>
          <w:p w14:paraId="27710F09" w14:textId="66154429" w:rsidR="007F7403" w:rsidRDefault="007F7403" w:rsidP="00DF77B4">
            <w:pPr>
              <w:jc w:val="center"/>
              <w:rPr>
                <w:rFonts w:ascii="Calibri" w:hAnsi="Calibri" w:cs="Calibri"/>
                <w:color w:val="000000"/>
              </w:rPr>
            </w:pPr>
            <w:r w:rsidRPr="00D93B89">
              <w:rPr>
                <w:rFonts w:ascii="Calibri" w:hAnsi="Calibri" w:cs="Calibri"/>
                <w:b/>
                <w:bCs/>
                <w:color w:val="000000"/>
              </w:rPr>
              <w:t>100%</w:t>
            </w:r>
          </w:p>
        </w:tc>
      </w:tr>
    </w:tbl>
    <w:p w14:paraId="4F67BDF5" w14:textId="77777777" w:rsidR="007F7403" w:rsidRPr="002652BD" w:rsidRDefault="007F7403" w:rsidP="007F7403">
      <w:pPr>
        <w:rPr>
          <w:rFonts w:cstheme="minorHAnsi"/>
          <w:b/>
        </w:rPr>
      </w:pPr>
      <w:r w:rsidRPr="002652BD">
        <w:rPr>
          <w:rFonts w:eastAsia="Times New Roman" w:cstheme="minorHAnsi"/>
          <w:sz w:val="16"/>
          <w:szCs w:val="16"/>
          <w:lang w:eastAsia="en-GB"/>
        </w:rPr>
        <w:t>Source: Scottish Government LHS data pack house sales 2006-13</w:t>
      </w:r>
    </w:p>
    <w:p w14:paraId="4F465379" w14:textId="77777777" w:rsidR="007F7403" w:rsidRPr="00DF77B4" w:rsidRDefault="007F7403" w:rsidP="00A87A7A">
      <w:pPr>
        <w:pStyle w:val="Heading3"/>
        <w:rPr>
          <w:b/>
          <w:bCs/>
          <w:color w:val="auto"/>
        </w:rPr>
      </w:pPr>
      <w:r w:rsidRPr="00DF77B4">
        <w:rPr>
          <w:b/>
          <w:bCs/>
          <w:color w:val="auto"/>
        </w:rPr>
        <w:t>Local Authority Level Movements</w:t>
      </w:r>
    </w:p>
    <w:p w14:paraId="57FD28A4" w14:textId="77777777" w:rsidR="007F7403" w:rsidRPr="00C927F4" w:rsidRDefault="007F7403" w:rsidP="007F7403">
      <w:pPr>
        <w:rPr>
          <w:rFonts w:cstheme="minorHAnsi"/>
        </w:rPr>
      </w:pPr>
      <w:r w:rsidRPr="00C927F4">
        <w:rPr>
          <w:rFonts w:cstheme="minorHAnsi"/>
        </w:rPr>
        <w:t>There were 9,813 moves to Falkirk between 2014-2017 with a known origin. The majority of these (7,08</w:t>
      </w:r>
      <w:r>
        <w:rPr>
          <w:rFonts w:cstheme="minorHAnsi"/>
        </w:rPr>
        <w:t>8</w:t>
      </w:r>
      <w:r w:rsidRPr="00C927F4">
        <w:rPr>
          <w:rFonts w:cstheme="minorHAnsi"/>
        </w:rPr>
        <w:t xml:space="preserve">, 72.2%) originated within Falkirk itself. Figure </w:t>
      </w:r>
      <w:r>
        <w:rPr>
          <w:rFonts w:cstheme="minorHAnsi"/>
        </w:rPr>
        <w:t>2 and Table 2</w:t>
      </w:r>
      <w:r w:rsidRPr="00C927F4">
        <w:rPr>
          <w:rFonts w:cstheme="minorHAnsi"/>
        </w:rPr>
        <w:t xml:space="preserve"> shows that there is generally strong self-containment in the housing </w:t>
      </w:r>
      <w:proofErr w:type="gramStart"/>
      <w:r w:rsidRPr="00C927F4">
        <w:rPr>
          <w:rFonts w:cstheme="minorHAnsi"/>
        </w:rPr>
        <w:t>sub market</w:t>
      </w:r>
      <w:proofErr w:type="gramEnd"/>
      <w:r w:rsidRPr="00C927F4">
        <w:rPr>
          <w:rFonts w:cstheme="minorHAnsi"/>
        </w:rPr>
        <w:t xml:space="preserve"> areas. The lowest self-containment levels are found in Grangemouth</w:t>
      </w:r>
      <w:r>
        <w:rPr>
          <w:rFonts w:cstheme="minorHAnsi"/>
        </w:rPr>
        <w:t xml:space="preserve"> (57%)</w:t>
      </w:r>
      <w:r w:rsidRPr="00C927F4">
        <w:rPr>
          <w:rFonts w:cstheme="minorHAnsi"/>
        </w:rPr>
        <w:t xml:space="preserve"> and Falkirk</w:t>
      </w:r>
      <w:r>
        <w:rPr>
          <w:rFonts w:cstheme="minorHAnsi"/>
        </w:rPr>
        <w:t xml:space="preserve"> (50%) and the highest in Bo’ness (75%) and Denny &amp; Bonnybridge (73%)</w:t>
      </w:r>
      <w:r w:rsidRPr="00C927F4">
        <w:rPr>
          <w:rFonts w:cstheme="minorHAnsi"/>
        </w:rPr>
        <w:t xml:space="preserve">. </w:t>
      </w:r>
      <w:r>
        <w:rPr>
          <w:rFonts w:cstheme="minorHAnsi"/>
        </w:rPr>
        <w:t xml:space="preserve"> </w:t>
      </w:r>
      <w:r w:rsidRPr="00C927F4">
        <w:rPr>
          <w:rFonts w:cstheme="minorHAnsi"/>
        </w:rPr>
        <w:t>Therefore Falkirk continues to be made up of six functional housing sub market areas and there is no evidence to suggest it has changed to become one single market area.</w:t>
      </w:r>
    </w:p>
    <w:p w14:paraId="260CF3B2" w14:textId="77777777" w:rsidR="007F7403" w:rsidRPr="00A87A7A" w:rsidRDefault="007F7403" w:rsidP="00A87A7A">
      <w:pPr>
        <w:pStyle w:val="Heading4"/>
        <w:rPr>
          <w:color w:val="auto"/>
        </w:rPr>
      </w:pPr>
      <w:r w:rsidRPr="00A87A7A">
        <w:rPr>
          <w:color w:val="auto"/>
        </w:rPr>
        <w:t>Figure 2: Level of self-containment by housing sub market area</w:t>
      </w:r>
    </w:p>
    <w:p w14:paraId="59EDBE84" w14:textId="77777777" w:rsidR="007F7403" w:rsidRDefault="007F7403" w:rsidP="007F7403">
      <w:pPr>
        <w:rPr>
          <w:rFonts w:cstheme="minorHAnsi"/>
        </w:rPr>
      </w:pPr>
      <w:r>
        <w:rPr>
          <w:rFonts w:cstheme="minorHAnsi"/>
          <w:noProof/>
        </w:rPr>
        <w:drawing>
          <wp:inline distT="0" distB="0" distL="0" distR="0" wp14:anchorId="337F6A07" wp14:editId="6666408F">
            <wp:extent cx="5742940" cy="3182620"/>
            <wp:effectExtent l="0" t="0" r="0" b="0"/>
            <wp:docPr id="9" name="Picture 9" descr="Figure 2: Level of self-containment by housing sub marke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Level of self-containment by housing sub market ar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940" cy="3182620"/>
                    </a:xfrm>
                    <a:prstGeom prst="rect">
                      <a:avLst/>
                    </a:prstGeom>
                    <a:noFill/>
                  </pic:spPr>
                </pic:pic>
              </a:graphicData>
            </a:graphic>
          </wp:inline>
        </w:drawing>
      </w:r>
    </w:p>
    <w:p w14:paraId="10B2B967" w14:textId="7BC7A6E1" w:rsidR="007F7403" w:rsidRDefault="007F7403" w:rsidP="007F7403">
      <w:pPr>
        <w:rPr>
          <w:rFonts w:cstheme="minorHAnsi"/>
          <w:sz w:val="18"/>
          <w:szCs w:val="18"/>
        </w:rPr>
      </w:pPr>
      <w:r w:rsidRPr="00A35003">
        <w:rPr>
          <w:rFonts w:cstheme="minorHAnsi"/>
          <w:sz w:val="18"/>
          <w:szCs w:val="18"/>
        </w:rPr>
        <w:t>Source: Registers of Scotland with further processing by Scottish Government</w:t>
      </w:r>
    </w:p>
    <w:p w14:paraId="355A0C63" w14:textId="532ADD0A" w:rsidR="007F7403" w:rsidRDefault="007F7403" w:rsidP="007F7403">
      <w:pPr>
        <w:rPr>
          <w:rFonts w:cstheme="minorHAnsi"/>
          <w:sz w:val="18"/>
          <w:szCs w:val="18"/>
        </w:rPr>
      </w:pPr>
    </w:p>
    <w:p w14:paraId="2E6EB8A7" w14:textId="68AEA759" w:rsidR="007F7403" w:rsidRDefault="007F7403" w:rsidP="007F7403">
      <w:pPr>
        <w:rPr>
          <w:rFonts w:cstheme="minorHAnsi"/>
          <w:sz w:val="18"/>
          <w:szCs w:val="18"/>
        </w:rPr>
      </w:pPr>
    </w:p>
    <w:p w14:paraId="28FCBCDC" w14:textId="77777777" w:rsidR="001E2C3C" w:rsidRDefault="001E2C3C" w:rsidP="00A87A7A">
      <w:pPr>
        <w:pStyle w:val="Heading4"/>
        <w:rPr>
          <w:bCs/>
          <w:color w:val="auto"/>
        </w:rPr>
      </w:pPr>
    </w:p>
    <w:p w14:paraId="76949754" w14:textId="32C775BE" w:rsidR="007F7403" w:rsidRPr="001E2C3C" w:rsidRDefault="007F7403" w:rsidP="00A87A7A">
      <w:pPr>
        <w:pStyle w:val="Heading4"/>
        <w:rPr>
          <w:b/>
          <w:i w:val="0"/>
          <w:iCs w:val="0"/>
          <w:color w:val="auto"/>
        </w:rPr>
      </w:pPr>
      <w:r w:rsidRPr="001E2C3C">
        <w:rPr>
          <w:b/>
          <w:i w:val="0"/>
          <w:iCs w:val="0"/>
          <w:color w:val="auto"/>
        </w:rPr>
        <w:t xml:space="preserve">Table 2: Level of self-containment by housing </w:t>
      </w:r>
      <w:proofErr w:type="gramStart"/>
      <w:r w:rsidRPr="001E2C3C">
        <w:rPr>
          <w:b/>
          <w:i w:val="0"/>
          <w:iCs w:val="0"/>
          <w:color w:val="auto"/>
        </w:rPr>
        <w:t>sub market</w:t>
      </w:r>
      <w:proofErr w:type="gramEnd"/>
      <w:r w:rsidRPr="001E2C3C">
        <w:rPr>
          <w:b/>
          <w:i w:val="0"/>
          <w:iCs w:val="0"/>
          <w:color w:val="auto"/>
        </w:rPr>
        <w:t xml:space="preserve"> area</w:t>
      </w:r>
    </w:p>
    <w:tbl>
      <w:tblPr>
        <w:tblStyle w:val="GridTable1Light"/>
        <w:tblW w:w="10196" w:type="dxa"/>
        <w:tblLook w:val="04A0" w:firstRow="1" w:lastRow="0" w:firstColumn="1" w:lastColumn="0" w:noHBand="0" w:noVBand="1"/>
      </w:tblPr>
      <w:tblGrid>
        <w:gridCol w:w="3623"/>
        <w:gridCol w:w="850"/>
        <w:gridCol w:w="1276"/>
        <w:gridCol w:w="768"/>
        <w:gridCol w:w="1415"/>
        <w:gridCol w:w="709"/>
        <w:gridCol w:w="1555"/>
      </w:tblGrid>
      <w:tr w:rsidR="00FD3225" w:rsidRPr="001E2C3C" w14:paraId="6380B2A2" w14:textId="77777777" w:rsidTr="009A6D4E">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676" w:type="dxa"/>
            <w:hideMark/>
          </w:tcPr>
          <w:p w14:paraId="3373291A" w14:textId="77777777" w:rsidR="001E2C3C" w:rsidRPr="001E2C3C" w:rsidRDefault="001E2C3C" w:rsidP="001E2C3C">
            <w:pPr>
              <w:rPr>
                <w:rFonts w:ascii="Calibri" w:eastAsia="Times New Roman" w:hAnsi="Calibri" w:cs="Calibri"/>
                <w:b w:val="0"/>
                <w:bCs w:val="0"/>
                <w:color w:val="000000"/>
                <w:sz w:val="24"/>
                <w:szCs w:val="24"/>
                <w:lang w:eastAsia="en-GB"/>
              </w:rPr>
            </w:pPr>
            <w:r w:rsidRPr="001E2C3C">
              <w:rPr>
                <w:rFonts w:ascii="Calibri" w:eastAsia="Times New Roman" w:hAnsi="Calibri" w:cstheme="minorHAnsi"/>
                <w:color w:val="000000"/>
                <w:sz w:val="24"/>
                <w:szCs w:val="24"/>
                <w:lang w:eastAsia="en-GB"/>
              </w:rPr>
              <w:t>Area</w:t>
            </w:r>
          </w:p>
        </w:tc>
        <w:tc>
          <w:tcPr>
            <w:tcW w:w="794" w:type="dxa"/>
            <w:hideMark/>
          </w:tcPr>
          <w:p w14:paraId="63FC9BF7" w14:textId="77777777" w:rsidR="001E2C3C" w:rsidRPr="001E2C3C" w:rsidRDefault="001E2C3C" w:rsidP="001E2C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E2C3C">
              <w:rPr>
                <w:rFonts w:ascii="Calibri" w:eastAsia="Times New Roman" w:hAnsi="Calibri" w:cs="Calibri"/>
                <w:color w:val="000000"/>
                <w:sz w:val="20"/>
                <w:szCs w:val="20"/>
                <w:lang w:eastAsia="en-GB"/>
              </w:rPr>
              <w:t>Bo'ness</w:t>
            </w:r>
          </w:p>
        </w:tc>
        <w:tc>
          <w:tcPr>
            <w:tcW w:w="1276" w:type="dxa"/>
            <w:hideMark/>
          </w:tcPr>
          <w:p w14:paraId="6CF8448B" w14:textId="77777777" w:rsidR="001E2C3C" w:rsidRPr="001E2C3C" w:rsidRDefault="001E2C3C" w:rsidP="001E2C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E2C3C">
              <w:rPr>
                <w:rFonts w:ascii="Calibri" w:eastAsia="Times New Roman" w:hAnsi="Calibri" w:cs="Calibri"/>
                <w:color w:val="000000"/>
                <w:sz w:val="20"/>
                <w:szCs w:val="20"/>
                <w:lang w:eastAsia="en-GB"/>
              </w:rPr>
              <w:t>Denny &amp; Bonnybridge</w:t>
            </w:r>
          </w:p>
        </w:tc>
        <w:tc>
          <w:tcPr>
            <w:tcW w:w="768" w:type="dxa"/>
            <w:hideMark/>
          </w:tcPr>
          <w:p w14:paraId="0B6A8555" w14:textId="77777777" w:rsidR="001E2C3C" w:rsidRPr="001E2C3C" w:rsidRDefault="001E2C3C" w:rsidP="001E2C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E2C3C">
              <w:rPr>
                <w:rFonts w:ascii="Calibri" w:eastAsia="Times New Roman" w:hAnsi="Calibri" w:cs="Calibri"/>
                <w:color w:val="000000"/>
                <w:sz w:val="20"/>
                <w:szCs w:val="20"/>
                <w:lang w:eastAsia="en-GB"/>
              </w:rPr>
              <w:t>Falkirk</w:t>
            </w:r>
          </w:p>
        </w:tc>
        <w:tc>
          <w:tcPr>
            <w:tcW w:w="1416" w:type="dxa"/>
            <w:hideMark/>
          </w:tcPr>
          <w:p w14:paraId="1089B2AC" w14:textId="77777777" w:rsidR="001E2C3C" w:rsidRPr="001E2C3C" w:rsidRDefault="001E2C3C" w:rsidP="001E2C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E2C3C">
              <w:rPr>
                <w:rFonts w:ascii="Calibri" w:eastAsia="Times New Roman" w:hAnsi="Calibri" w:cs="Calibri"/>
                <w:color w:val="000000"/>
                <w:sz w:val="20"/>
                <w:szCs w:val="20"/>
                <w:lang w:eastAsia="en-GB"/>
              </w:rPr>
              <w:t>Grangemouth</w:t>
            </w:r>
          </w:p>
        </w:tc>
        <w:tc>
          <w:tcPr>
            <w:tcW w:w="709" w:type="dxa"/>
            <w:hideMark/>
          </w:tcPr>
          <w:p w14:paraId="0D982B15" w14:textId="77777777" w:rsidR="001E2C3C" w:rsidRPr="001E2C3C" w:rsidRDefault="001E2C3C" w:rsidP="001E2C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E2C3C">
              <w:rPr>
                <w:rFonts w:ascii="Calibri" w:eastAsia="Times New Roman" w:hAnsi="Calibri" w:cs="Calibri"/>
                <w:color w:val="000000"/>
                <w:sz w:val="20"/>
                <w:szCs w:val="20"/>
                <w:lang w:eastAsia="en-GB"/>
              </w:rPr>
              <w:t>Braes &amp; Rural South</w:t>
            </w:r>
          </w:p>
        </w:tc>
        <w:tc>
          <w:tcPr>
            <w:tcW w:w="1557" w:type="dxa"/>
            <w:hideMark/>
          </w:tcPr>
          <w:p w14:paraId="21B979C1" w14:textId="77777777" w:rsidR="001E2C3C" w:rsidRPr="001E2C3C" w:rsidRDefault="001E2C3C" w:rsidP="001E2C3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lang w:eastAsia="en-GB"/>
              </w:rPr>
            </w:pPr>
            <w:r w:rsidRPr="001E2C3C">
              <w:rPr>
                <w:rFonts w:ascii="Calibri" w:eastAsia="Times New Roman" w:hAnsi="Calibri" w:cs="Calibri"/>
                <w:color w:val="000000"/>
                <w:sz w:val="20"/>
                <w:szCs w:val="20"/>
                <w:lang w:eastAsia="en-GB"/>
              </w:rPr>
              <w:t>Stenhousemuir Larbert &amp; Rural North</w:t>
            </w:r>
          </w:p>
        </w:tc>
      </w:tr>
      <w:tr w:rsidR="00FD3225" w:rsidRPr="001E2C3C" w14:paraId="265FA310" w14:textId="77777777" w:rsidTr="009A6D4E">
        <w:trPr>
          <w:trHeight w:val="300"/>
        </w:trPr>
        <w:tc>
          <w:tcPr>
            <w:cnfStyle w:val="001000000000" w:firstRow="0" w:lastRow="0" w:firstColumn="1" w:lastColumn="0" w:oddVBand="0" w:evenVBand="0" w:oddHBand="0" w:evenHBand="0" w:firstRowFirstColumn="0" w:firstRowLastColumn="0" w:lastRowFirstColumn="0" w:lastRowLastColumn="0"/>
            <w:tcW w:w="3676" w:type="dxa"/>
            <w:hideMark/>
          </w:tcPr>
          <w:p w14:paraId="5B51E2AB" w14:textId="77777777" w:rsidR="001E2C3C" w:rsidRPr="001E2C3C" w:rsidRDefault="001E2C3C" w:rsidP="001E2C3C">
            <w:pPr>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Bo'ness</w:t>
            </w:r>
          </w:p>
        </w:tc>
        <w:tc>
          <w:tcPr>
            <w:tcW w:w="794" w:type="dxa"/>
            <w:hideMark/>
          </w:tcPr>
          <w:p w14:paraId="6F719096"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75%</w:t>
            </w:r>
          </w:p>
        </w:tc>
        <w:tc>
          <w:tcPr>
            <w:tcW w:w="1276" w:type="dxa"/>
            <w:hideMark/>
          </w:tcPr>
          <w:p w14:paraId="72C4BBDB"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w:t>
            </w:r>
          </w:p>
        </w:tc>
        <w:tc>
          <w:tcPr>
            <w:tcW w:w="768" w:type="dxa"/>
            <w:hideMark/>
          </w:tcPr>
          <w:p w14:paraId="0067BA06"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7%</w:t>
            </w:r>
          </w:p>
        </w:tc>
        <w:tc>
          <w:tcPr>
            <w:tcW w:w="1416" w:type="dxa"/>
            <w:hideMark/>
          </w:tcPr>
          <w:p w14:paraId="2658163A"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4%</w:t>
            </w:r>
          </w:p>
        </w:tc>
        <w:tc>
          <w:tcPr>
            <w:tcW w:w="709" w:type="dxa"/>
            <w:hideMark/>
          </w:tcPr>
          <w:p w14:paraId="1C5982B2"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10%</w:t>
            </w:r>
          </w:p>
        </w:tc>
        <w:tc>
          <w:tcPr>
            <w:tcW w:w="1557" w:type="dxa"/>
            <w:hideMark/>
          </w:tcPr>
          <w:p w14:paraId="30F79D70"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3%</w:t>
            </w:r>
          </w:p>
        </w:tc>
      </w:tr>
      <w:tr w:rsidR="00FD3225" w:rsidRPr="001E2C3C" w14:paraId="02DD1D2D" w14:textId="77777777" w:rsidTr="009A6D4E">
        <w:trPr>
          <w:trHeight w:val="300"/>
        </w:trPr>
        <w:tc>
          <w:tcPr>
            <w:cnfStyle w:val="001000000000" w:firstRow="0" w:lastRow="0" w:firstColumn="1" w:lastColumn="0" w:oddVBand="0" w:evenVBand="0" w:oddHBand="0" w:evenHBand="0" w:firstRowFirstColumn="0" w:firstRowLastColumn="0" w:lastRowFirstColumn="0" w:lastRowLastColumn="0"/>
            <w:tcW w:w="3676" w:type="dxa"/>
            <w:hideMark/>
          </w:tcPr>
          <w:p w14:paraId="3DFF5A54" w14:textId="77777777" w:rsidR="001E2C3C" w:rsidRPr="001E2C3C" w:rsidRDefault="001E2C3C" w:rsidP="001E2C3C">
            <w:pPr>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Denny &amp; Bonnybridge</w:t>
            </w:r>
          </w:p>
        </w:tc>
        <w:tc>
          <w:tcPr>
            <w:tcW w:w="794" w:type="dxa"/>
            <w:hideMark/>
          </w:tcPr>
          <w:p w14:paraId="0839273B"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0%</w:t>
            </w:r>
          </w:p>
        </w:tc>
        <w:tc>
          <w:tcPr>
            <w:tcW w:w="1276" w:type="dxa"/>
            <w:hideMark/>
          </w:tcPr>
          <w:p w14:paraId="13A2A654"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73%</w:t>
            </w:r>
          </w:p>
        </w:tc>
        <w:tc>
          <w:tcPr>
            <w:tcW w:w="768" w:type="dxa"/>
            <w:hideMark/>
          </w:tcPr>
          <w:p w14:paraId="61D39837"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9%</w:t>
            </w:r>
          </w:p>
        </w:tc>
        <w:tc>
          <w:tcPr>
            <w:tcW w:w="1416" w:type="dxa"/>
            <w:hideMark/>
          </w:tcPr>
          <w:p w14:paraId="0D835C90"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2%</w:t>
            </w:r>
          </w:p>
        </w:tc>
        <w:tc>
          <w:tcPr>
            <w:tcW w:w="709" w:type="dxa"/>
            <w:hideMark/>
          </w:tcPr>
          <w:p w14:paraId="0382A6FB"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5%</w:t>
            </w:r>
          </w:p>
        </w:tc>
        <w:tc>
          <w:tcPr>
            <w:tcW w:w="1557" w:type="dxa"/>
            <w:hideMark/>
          </w:tcPr>
          <w:p w14:paraId="464C942B"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12%</w:t>
            </w:r>
          </w:p>
        </w:tc>
      </w:tr>
      <w:tr w:rsidR="00FD3225" w:rsidRPr="001E2C3C" w14:paraId="7634A931" w14:textId="77777777" w:rsidTr="009A6D4E">
        <w:trPr>
          <w:trHeight w:val="300"/>
        </w:trPr>
        <w:tc>
          <w:tcPr>
            <w:cnfStyle w:val="001000000000" w:firstRow="0" w:lastRow="0" w:firstColumn="1" w:lastColumn="0" w:oddVBand="0" w:evenVBand="0" w:oddHBand="0" w:evenHBand="0" w:firstRowFirstColumn="0" w:firstRowLastColumn="0" w:lastRowFirstColumn="0" w:lastRowLastColumn="0"/>
            <w:tcW w:w="3676" w:type="dxa"/>
            <w:hideMark/>
          </w:tcPr>
          <w:p w14:paraId="77B4FBDF" w14:textId="77777777" w:rsidR="001E2C3C" w:rsidRPr="001E2C3C" w:rsidRDefault="001E2C3C" w:rsidP="001E2C3C">
            <w:pPr>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Falkirk</w:t>
            </w:r>
          </w:p>
        </w:tc>
        <w:tc>
          <w:tcPr>
            <w:tcW w:w="794" w:type="dxa"/>
            <w:hideMark/>
          </w:tcPr>
          <w:p w14:paraId="752F8083"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w:t>
            </w:r>
          </w:p>
        </w:tc>
        <w:tc>
          <w:tcPr>
            <w:tcW w:w="1276" w:type="dxa"/>
            <w:hideMark/>
          </w:tcPr>
          <w:p w14:paraId="3A622517"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5%</w:t>
            </w:r>
          </w:p>
        </w:tc>
        <w:tc>
          <w:tcPr>
            <w:tcW w:w="768" w:type="dxa"/>
            <w:hideMark/>
          </w:tcPr>
          <w:p w14:paraId="6235B4CD"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50%</w:t>
            </w:r>
          </w:p>
        </w:tc>
        <w:tc>
          <w:tcPr>
            <w:tcW w:w="1416" w:type="dxa"/>
            <w:hideMark/>
          </w:tcPr>
          <w:p w14:paraId="41660752"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5%</w:t>
            </w:r>
          </w:p>
        </w:tc>
        <w:tc>
          <w:tcPr>
            <w:tcW w:w="709" w:type="dxa"/>
            <w:hideMark/>
          </w:tcPr>
          <w:p w14:paraId="0233AF62"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24%</w:t>
            </w:r>
          </w:p>
        </w:tc>
        <w:tc>
          <w:tcPr>
            <w:tcW w:w="1557" w:type="dxa"/>
            <w:hideMark/>
          </w:tcPr>
          <w:p w14:paraId="13DBE6DF"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16%</w:t>
            </w:r>
          </w:p>
        </w:tc>
      </w:tr>
      <w:tr w:rsidR="00FD3225" w:rsidRPr="001E2C3C" w14:paraId="3951E00F" w14:textId="77777777" w:rsidTr="009A6D4E">
        <w:trPr>
          <w:trHeight w:val="300"/>
        </w:trPr>
        <w:tc>
          <w:tcPr>
            <w:cnfStyle w:val="001000000000" w:firstRow="0" w:lastRow="0" w:firstColumn="1" w:lastColumn="0" w:oddVBand="0" w:evenVBand="0" w:oddHBand="0" w:evenHBand="0" w:firstRowFirstColumn="0" w:firstRowLastColumn="0" w:lastRowFirstColumn="0" w:lastRowLastColumn="0"/>
            <w:tcW w:w="3676" w:type="dxa"/>
            <w:hideMark/>
          </w:tcPr>
          <w:p w14:paraId="5D4BA5C6" w14:textId="77777777" w:rsidR="001E2C3C" w:rsidRPr="001E2C3C" w:rsidRDefault="001E2C3C" w:rsidP="001E2C3C">
            <w:pPr>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Grangemouth</w:t>
            </w:r>
          </w:p>
        </w:tc>
        <w:tc>
          <w:tcPr>
            <w:tcW w:w="794" w:type="dxa"/>
            <w:hideMark/>
          </w:tcPr>
          <w:p w14:paraId="3A238934"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2%</w:t>
            </w:r>
          </w:p>
        </w:tc>
        <w:tc>
          <w:tcPr>
            <w:tcW w:w="1276" w:type="dxa"/>
            <w:hideMark/>
          </w:tcPr>
          <w:p w14:paraId="0053556E"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3%</w:t>
            </w:r>
          </w:p>
        </w:tc>
        <w:tc>
          <w:tcPr>
            <w:tcW w:w="768" w:type="dxa"/>
            <w:hideMark/>
          </w:tcPr>
          <w:p w14:paraId="1800FFA8"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12%</w:t>
            </w:r>
          </w:p>
        </w:tc>
        <w:tc>
          <w:tcPr>
            <w:tcW w:w="1416" w:type="dxa"/>
            <w:hideMark/>
          </w:tcPr>
          <w:p w14:paraId="795C8754"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57%</w:t>
            </w:r>
          </w:p>
        </w:tc>
        <w:tc>
          <w:tcPr>
            <w:tcW w:w="709" w:type="dxa"/>
            <w:hideMark/>
          </w:tcPr>
          <w:p w14:paraId="6DC08BAB"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17%</w:t>
            </w:r>
          </w:p>
        </w:tc>
        <w:tc>
          <w:tcPr>
            <w:tcW w:w="1557" w:type="dxa"/>
            <w:hideMark/>
          </w:tcPr>
          <w:p w14:paraId="0EBB0F98"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9%</w:t>
            </w:r>
          </w:p>
        </w:tc>
      </w:tr>
      <w:tr w:rsidR="00FD3225" w:rsidRPr="001E2C3C" w14:paraId="79F61229" w14:textId="77777777" w:rsidTr="009A6D4E">
        <w:trPr>
          <w:trHeight w:val="300"/>
        </w:trPr>
        <w:tc>
          <w:tcPr>
            <w:cnfStyle w:val="001000000000" w:firstRow="0" w:lastRow="0" w:firstColumn="1" w:lastColumn="0" w:oddVBand="0" w:evenVBand="0" w:oddHBand="0" w:evenHBand="0" w:firstRowFirstColumn="0" w:firstRowLastColumn="0" w:lastRowFirstColumn="0" w:lastRowLastColumn="0"/>
            <w:tcW w:w="3676" w:type="dxa"/>
            <w:hideMark/>
          </w:tcPr>
          <w:p w14:paraId="150D6EE0" w14:textId="77777777" w:rsidR="001E2C3C" w:rsidRPr="001E2C3C" w:rsidRDefault="001E2C3C" w:rsidP="001E2C3C">
            <w:pPr>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Braes &amp; Rural South</w:t>
            </w:r>
          </w:p>
        </w:tc>
        <w:tc>
          <w:tcPr>
            <w:tcW w:w="794" w:type="dxa"/>
            <w:hideMark/>
          </w:tcPr>
          <w:p w14:paraId="3F634F88"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2%</w:t>
            </w:r>
          </w:p>
        </w:tc>
        <w:tc>
          <w:tcPr>
            <w:tcW w:w="1276" w:type="dxa"/>
            <w:hideMark/>
          </w:tcPr>
          <w:p w14:paraId="5FEEEB2C"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3%</w:t>
            </w:r>
          </w:p>
        </w:tc>
        <w:tc>
          <w:tcPr>
            <w:tcW w:w="768" w:type="dxa"/>
            <w:hideMark/>
          </w:tcPr>
          <w:p w14:paraId="6BC0DDDC"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19%</w:t>
            </w:r>
          </w:p>
        </w:tc>
        <w:tc>
          <w:tcPr>
            <w:tcW w:w="1416" w:type="dxa"/>
            <w:hideMark/>
          </w:tcPr>
          <w:p w14:paraId="610C29D2"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6%</w:t>
            </w:r>
          </w:p>
        </w:tc>
        <w:tc>
          <w:tcPr>
            <w:tcW w:w="709" w:type="dxa"/>
            <w:hideMark/>
          </w:tcPr>
          <w:p w14:paraId="2AAD4285"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63%</w:t>
            </w:r>
          </w:p>
        </w:tc>
        <w:tc>
          <w:tcPr>
            <w:tcW w:w="1557" w:type="dxa"/>
            <w:hideMark/>
          </w:tcPr>
          <w:p w14:paraId="53DDAB00"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7%</w:t>
            </w:r>
          </w:p>
        </w:tc>
      </w:tr>
      <w:tr w:rsidR="00FD3225" w:rsidRPr="001E2C3C" w14:paraId="2A7E5637" w14:textId="77777777" w:rsidTr="009A6D4E">
        <w:trPr>
          <w:trHeight w:val="300"/>
        </w:trPr>
        <w:tc>
          <w:tcPr>
            <w:cnfStyle w:val="001000000000" w:firstRow="0" w:lastRow="0" w:firstColumn="1" w:lastColumn="0" w:oddVBand="0" w:evenVBand="0" w:oddHBand="0" w:evenHBand="0" w:firstRowFirstColumn="0" w:firstRowLastColumn="0" w:lastRowFirstColumn="0" w:lastRowLastColumn="0"/>
            <w:tcW w:w="3676" w:type="dxa"/>
            <w:hideMark/>
          </w:tcPr>
          <w:p w14:paraId="7023B610" w14:textId="77777777" w:rsidR="001E2C3C" w:rsidRPr="001E2C3C" w:rsidRDefault="001E2C3C" w:rsidP="001E2C3C">
            <w:pPr>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Stenhousemuir Larbert &amp; Rural North</w:t>
            </w:r>
          </w:p>
        </w:tc>
        <w:tc>
          <w:tcPr>
            <w:tcW w:w="794" w:type="dxa"/>
            <w:hideMark/>
          </w:tcPr>
          <w:p w14:paraId="250C77BB"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w:t>
            </w:r>
          </w:p>
        </w:tc>
        <w:tc>
          <w:tcPr>
            <w:tcW w:w="1276" w:type="dxa"/>
            <w:hideMark/>
          </w:tcPr>
          <w:p w14:paraId="6A59F468"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8%</w:t>
            </w:r>
          </w:p>
        </w:tc>
        <w:tc>
          <w:tcPr>
            <w:tcW w:w="768" w:type="dxa"/>
            <w:hideMark/>
          </w:tcPr>
          <w:p w14:paraId="180231D2"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18%</w:t>
            </w:r>
          </w:p>
        </w:tc>
        <w:tc>
          <w:tcPr>
            <w:tcW w:w="1416" w:type="dxa"/>
            <w:hideMark/>
          </w:tcPr>
          <w:p w14:paraId="273DF851"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4%</w:t>
            </w:r>
          </w:p>
        </w:tc>
        <w:tc>
          <w:tcPr>
            <w:tcW w:w="709" w:type="dxa"/>
            <w:hideMark/>
          </w:tcPr>
          <w:p w14:paraId="0F6C09A7"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7%</w:t>
            </w:r>
          </w:p>
        </w:tc>
        <w:tc>
          <w:tcPr>
            <w:tcW w:w="1557" w:type="dxa"/>
            <w:hideMark/>
          </w:tcPr>
          <w:p w14:paraId="3EBB176C"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E2C3C">
              <w:rPr>
                <w:rFonts w:ascii="Calibri" w:eastAsia="Times New Roman" w:hAnsi="Calibri" w:cs="Calibri"/>
                <w:color w:val="000000"/>
                <w:sz w:val="20"/>
                <w:szCs w:val="20"/>
                <w:lang w:eastAsia="en-GB"/>
              </w:rPr>
              <w:t>62%</w:t>
            </w:r>
          </w:p>
        </w:tc>
      </w:tr>
      <w:tr w:rsidR="00FD3225" w:rsidRPr="001E2C3C" w14:paraId="4870ABC6" w14:textId="77777777" w:rsidTr="009A6D4E">
        <w:trPr>
          <w:trHeight w:val="300"/>
        </w:trPr>
        <w:tc>
          <w:tcPr>
            <w:cnfStyle w:val="001000000000" w:firstRow="0" w:lastRow="0" w:firstColumn="1" w:lastColumn="0" w:oddVBand="0" w:evenVBand="0" w:oddHBand="0" w:evenHBand="0" w:firstRowFirstColumn="0" w:firstRowLastColumn="0" w:lastRowFirstColumn="0" w:lastRowLastColumn="0"/>
            <w:tcW w:w="3676" w:type="dxa"/>
            <w:hideMark/>
          </w:tcPr>
          <w:p w14:paraId="4BBE3680" w14:textId="77777777" w:rsidR="001E2C3C" w:rsidRPr="001E2C3C" w:rsidRDefault="001E2C3C" w:rsidP="001E2C3C">
            <w:pPr>
              <w:rPr>
                <w:rFonts w:ascii="Calibri" w:eastAsia="Times New Roman" w:hAnsi="Calibri" w:cs="Calibri"/>
                <w:b w:val="0"/>
                <w:bCs w:val="0"/>
                <w:color w:val="000000"/>
                <w:sz w:val="20"/>
                <w:szCs w:val="20"/>
                <w:lang w:eastAsia="en-GB"/>
              </w:rPr>
            </w:pPr>
            <w:r w:rsidRPr="001E2C3C">
              <w:rPr>
                <w:rFonts w:ascii="Calibri" w:eastAsia="Times New Roman" w:hAnsi="Calibri" w:cs="Calibri"/>
                <w:color w:val="000000"/>
                <w:sz w:val="20"/>
                <w:szCs w:val="20"/>
                <w:lang w:eastAsia="en-GB"/>
              </w:rPr>
              <w:t>Total</w:t>
            </w:r>
          </w:p>
        </w:tc>
        <w:tc>
          <w:tcPr>
            <w:tcW w:w="794" w:type="dxa"/>
            <w:hideMark/>
          </w:tcPr>
          <w:p w14:paraId="5B3DA105"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1E2C3C">
              <w:rPr>
                <w:rFonts w:ascii="Calibri" w:eastAsia="Times New Roman" w:hAnsi="Calibri" w:cs="Calibri"/>
                <w:b/>
                <w:bCs/>
                <w:color w:val="000000"/>
                <w:sz w:val="20"/>
                <w:szCs w:val="20"/>
                <w:lang w:eastAsia="en-GB"/>
              </w:rPr>
              <w:t>7%</w:t>
            </w:r>
          </w:p>
        </w:tc>
        <w:tc>
          <w:tcPr>
            <w:tcW w:w="1276" w:type="dxa"/>
            <w:hideMark/>
          </w:tcPr>
          <w:p w14:paraId="66571275"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1E2C3C">
              <w:rPr>
                <w:rFonts w:ascii="Calibri" w:eastAsia="Times New Roman" w:hAnsi="Calibri" w:cs="Calibri"/>
                <w:b/>
                <w:bCs/>
                <w:color w:val="000000"/>
                <w:sz w:val="20"/>
                <w:szCs w:val="20"/>
                <w:lang w:eastAsia="en-GB"/>
              </w:rPr>
              <w:t>14%</w:t>
            </w:r>
          </w:p>
        </w:tc>
        <w:tc>
          <w:tcPr>
            <w:tcW w:w="768" w:type="dxa"/>
            <w:hideMark/>
          </w:tcPr>
          <w:p w14:paraId="356C03F2"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1E2C3C">
              <w:rPr>
                <w:rFonts w:ascii="Calibri" w:eastAsia="Times New Roman" w:hAnsi="Calibri" w:cs="Calibri"/>
                <w:b/>
                <w:bCs/>
                <w:color w:val="000000"/>
                <w:sz w:val="20"/>
                <w:szCs w:val="20"/>
                <w:lang w:eastAsia="en-GB"/>
              </w:rPr>
              <w:t>26%</w:t>
            </w:r>
          </w:p>
        </w:tc>
        <w:tc>
          <w:tcPr>
            <w:tcW w:w="1416" w:type="dxa"/>
            <w:hideMark/>
          </w:tcPr>
          <w:p w14:paraId="0BE034E8"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1E2C3C">
              <w:rPr>
                <w:rFonts w:ascii="Calibri" w:eastAsia="Times New Roman" w:hAnsi="Calibri" w:cs="Calibri"/>
                <w:b/>
                <w:bCs/>
                <w:color w:val="000000"/>
                <w:sz w:val="20"/>
                <w:szCs w:val="20"/>
                <w:lang w:eastAsia="en-GB"/>
              </w:rPr>
              <w:t>9%</w:t>
            </w:r>
          </w:p>
        </w:tc>
        <w:tc>
          <w:tcPr>
            <w:tcW w:w="709" w:type="dxa"/>
            <w:hideMark/>
          </w:tcPr>
          <w:p w14:paraId="335A6187"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1E2C3C">
              <w:rPr>
                <w:rFonts w:ascii="Calibri" w:eastAsia="Times New Roman" w:hAnsi="Calibri" w:cs="Calibri"/>
                <w:b/>
                <w:bCs/>
                <w:color w:val="000000"/>
                <w:sz w:val="20"/>
                <w:szCs w:val="20"/>
                <w:lang w:eastAsia="en-GB"/>
              </w:rPr>
              <w:t>23%</w:t>
            </w:r>
          </w:p>
        </w:tc>
        <w:tc>
          <w:tcPr>
            <w:tcW w:w="1557" w:type="dxa"/>
            <w:hideMark/>
          </w:tcPr>
          <w:p w14:paraId="2D5C4931" w14:textId="77777777" w:rsidR="001E2C3C" w:rsidRPr="001E2C3C" w:rsidRDefault="001E2C3C" w:rsidP="001E2C3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en-GB"/>
              </w:rPr>
            </w:pPr>
            <w:r w:rsidRPr="001E2C3C">
              <w:rPr>
                <w:rFonts w:ascii="Calibri" w:eastAsia="Times New Roman" w:hAnsi="Calibri" w:cs="Calibri"/>
                <w:b/>
                <w:bCs/>
                <w:color w:val="000000"/>
                <w:sz w:val="20"/>
                <w:szCs w:val="20"/>
                <w:lang w:eastAsia="en-GB"/>
              </w:rPr>
              <w:t>21%</w:t>
            </w:r>
          </w:p>
        </w:tc>
      </w:tr>
    </w:tbl>
    <w:p w14:paraId="41B6FBEC" w14:textId="35D61C5A" w:rsidR="007F7403" w:rsidRDefault="007F7403" w:rsidP="007F7403">
      <w:pPr>
        <w:rPr>
          <w:rFonts w:cstheme="minorHAnsi"/>
          <w:sz w:val="18"/>
          <w:szCs w:val="18"/>
        </w:rPr>
      </w:pPr>
      <w:r w:rsidRPr="00A35003">
        <w:rPr>
          <w:rFonts w:cstheme="minorHAnsi"/>
          <w:sz w:val="18"/>
          <w:szCs w:val="18"/>
        </w:rPr>
        <w:t>Source: Registers of Scotland with further processing by Scottish Government</w:t>
      </w:r>
    </w:p>
    <w:p w14:paraId="720A79EA" w14:textId="16F40251" w:rsidR="00A87A7A" w:rsidRDefault="00A87A7A" w:rsidP="007F7403">
      <w:pPr>
        <w:rPr>
          <w:rFonts w:cstheme="minorHAnsi"/>
          <w:sz w:val="18"/>
          <w:szCs w:val="18"/>
        </w:rPr>
      </w:pPr>
    </w:p>
    <w:p w14:paraId="4E02A8D4" w14:textId="77777777" w:rsidR="00A87A7A" w:rsidRPr="001E2C3C" w:rsidRDefault="00A87A7A" w:rsidP="00A87A7A">
      <w:pPr>
        <w:pStyle w:val="Heading3"/>
        <w:rPr>
          <w:b/>
          <w:bCs/>
          <w:color w:val="auto"/>
        </w:rPr>
      </w:pPr>
      <w:r w:rsidRPr="001E2C3C">
        <w:rPr>
          <w:b/>
          <w:bCs/>
          <w:color w:val="auto"/>
        </w:rPr>
        <w:t>Community Planning Locality Based Movements</w:t>
      </w:r>
    </w:p>
    <w:p w14:paraId="5713AA00" w14:textId="77777777" w:rsidR="00A87A7A" w:rsidRPr="003C3759" w:rsidRDefault="00A87A7A" w:rsidP="00A87A7A">
      <w:pPr>
        <w:autoSpaceDE w:val="0"/>
        <w:autoSpaceDN w:val="0"/>
        <w:adjustRightInd w:val="0"/>
        <w:spacing w:after="0" w:line="240" w:lineRule="auto"/>
        <w:rPr>
          <w:rFonts w:ascii="Calibri" w:hAnsi="Calibri" w:cs="Calibri"/>
          <w:color w:val="000000"/>
        </w:rPr>
      </w:pPr>
      <w:r w:rsidRPr="003C3759">
        <w:rPr>
          <w:rFonts w:ascii="Calibri" w:hAnsi="Calibri" w:cs="Calibri"/>
          <w:color w:val="000000"/>
        </w:rPr>
        <w:t xml:space="preserve">The Falkirk Community Planning Partnership is committed to Locality Planning. This is an approach based on developing strong local partnerships to identify and address area-specific issues. </w:t>
      </w:r>
    </w:p>
    <w:p w14:paraId="286DABCD" w14:textId="77777777" w:rsidR="00A87A7A" w:rsidRPr="003C3759" w:rsidRDefault="00A87A7A" w:rsidP="00A87A7A">
      <w:pPr>
        <w:autoSpaceDE w:val="0"/>
        <w:autoSpaceDN w:val="0"/>
        <w:adjustRightInd w:val="0"/>
        <w:spacing w:after="0" w:line="240" w:lineRule="auto"/>
        <w:rPr>
          <w:rFonts w:ascii="Calibri" w:hAnsi="Calibri" w:cs="Calibri"/>
          <w:color w:val="000000"/>
        </w:rPr>
      </w:pPr>
      <w:r w:rsidRPr="003C3759">
        <w:rPr>
          <w:rFonts w:ascii="Calibri" w:hAnsi="Calibri" w:cs="Calibri"/>
          <w:color w:val="000000"/>
        </w:rPr>
        <w:t xml:space="preserve">However, in line with legislation, the Local Housing Strategy is based on a Housing Need and Demand Assessment. The Assessment identifies sub housing market areas rather than localities. </w:t>
      </w:r>
    </w:p>
    <w:p w14:paraId="12649D3C" w14:textId="77777777" w:rsidR="00A87A7A" w:rsidRDefault="00A87A7A" w:rsidP="00A87A7A">
      <w:pPr>
        <w:autoSpaceDE w:val="0"/>
        <w:autoSpaceDN w:val="0"/>
        <w:adjustRightInd w:val="0"/>
        <w:spacing w:after="0" w:line="240" w:lineRule="auto"/>
        <w:rPr>
          <w:rFonts w:ascii="Calibri" w:hAnsi="Calibri" w:cs="Calibri"/>
          <w:color w:val="000000"/>
        </w:rPr>
      </w:pPr>
      <w:r w:rsidRPr="003C3759">
        <w:rPr>
          <w:rFonts w:ascii="Calibri" w:hAnsi="Calibri" w:cs="Calibri"/>
          <w:color w:val="000000"/>
        </w:rPr>
        <w:t xml:space="preserve">Sub housing markets are areas where households currently live or work and, if they wished to move, where they would look for alternative housing. If housing need is identified in a sub market, it is reasonable to assume that the household would expect to meet that need in the same sub market. </w:t>
      </w:r>
    </w:p>
    <w:p w14:paraId="38F0BE65" w14:textId="77777777" w:rsidR="00A87A7A" w:rsidRPr="008770BA" w:rsidRDefault="00A87A7A" w:rsidP="00A87A7A">
      <w:pPr>
        <w:autoSpaceDE w:val="0"/>
        <w:autoSpaceDN w:val="0"/>
        <w:adjustRightInd w:val="0"/>
        <w:spacing w:after="0" w:line="240" w:lineRule="auto"/>
        <w:rPr>
          <w:rFonts w:ascii="Calibri" w:hAnsi="Calibri" w:cs="Calibri"/>
          <w:color w:val="000000"/>
        </w:rPr>
      </w:pPr>
    </w:p>
    <w:p w14:paraId="06C4F9FE" w14:textId="131882E7" w:rsidR="00A87A7A" w:rsidRDefault="00A87A7A" w:rsidP="00A87A7A">
      <w:r>
        <w:rPr>
          <w:rFonts w:cstheme="minorHAnsi"/>
        </w:rPr>
        <w:t xml:space="preserve">Both the Housing sub-market areas and the SOLD localities were mapped and it is shown below. </w:t>
      </w:r>
      <w:r w:rsidRPr="006D7565">
        <w:t xml:space="preserve">Generally, sub housing market areas align to the locality areas - the exception being </w:t>
      </w:r>
      <w:r>
        <w:t xml:space="preserve">Braes and Rural South and Stenhousemir, Larbert and Rural North. In relation to Braes &amp; Rural South, part of this area is within the Central and East locality. In terms of Stenhousemuir, Larbert &amp; Rural north, the </w:t>
      </w:r>
      <w:r w:rsidR="00AE7CD6">
        <w:t>S</w:t>
      </w:r>
      <w:r>
        <w:t>kinflats area is seen as being in East locality instead of West locality.</w:t>
      </w:r>
    </w:p>
    <w:p w14:paraId="0F13EE3E" w14:textId="77777777" w:rsidR="00A87A7A" w:rsidRDefault="00A87A7A" w:rsidP="00A87A7A">
      <w:pPr>
        <w:rPr>
          <w:b/>
          <w:bCs/>
        </w:rPr>
      </w:pPr>
    </w:p>
    <w:p w14:paraId="53C6C4EE" w14:textId="7DCB9BB6" w:rsidR="00A87A7A" w:rsidRDefault="00A87A7A" w:rsidP="00A87A7A">
      <w:pPr>
        <w:rPr>
          <w:b/>
          <w:bCs/>
        </w:rPr>
      </w:pPr>
    </w:p>
    <w:p w14:paraId="07218D3B" w14:textId="77777777" w:rsidR="00A87A7A" w:rsidRDefault="00A87A7A" w:rsidP="00A87A7A">
      <w:pPr>
        <w:rPr>
          <w:b/>
          <w:bCs/>
        </w:rPr>
      </w:pPr>
    </w:p>
    <w:p w14:paraId="74E587AC" w14:textId="77777777" w:rsidR="00A87A7A" w:rsidRDefault="00A87A7A" w:rsidP="00A87A7A">
      <w:pPr>
        <w:rPr>
          <w:b/>
          <w:bCs/>
        </w:rPr>
      </w:pPr>
    </w:p>
    <w:p w14:paraId="2C6F821F" w14:textId="77777777" w:rsidR="00A87A7A" w:rsidRDefault="00A87A7A" w:rsidP="00A87A7A">
      <w:pPr>
        <w:rPr>
          <w:b/>
          <w:bCs/>
        </w:rPr>
      </w:pPr>
    </w:p>
    <w:p w14:paraId="3B85665F" w14:textId="77777777" w:rsidR="00A87A7A" w:rsidRDefault="00A87A7A" w:rsidP="00A87A7A">
      <w:pPr>
        <w:rPr>
          <w:b/>
          <w:bCs/>
        </w:rPr>
      </w:pPr>
    </w:p>
    <w:p w14:paraId="4A128FF2" w14:textId="77777777" w:rsidR="00A87A7A" w:rsidRDefault="00A87A7A" w:rsidP="00A87A7A">
      <w:pPr>
        <w:rPr>
          <w:b/>
          <w:bCs/>
        </w:rPr>
      </w:pPr>
    </w:p>
    <w:p w14:paraId="4DB73BD2" w14:textId="07B51C7D" w:rsidR="00A87A7A" w:rsidRPr="001E2C3C" w:rsidRDefault="00A87A7A" w:rsidP="00A87A7A">
      <w:pPr>
        <w:pStyle w:val="Heading4"/>
        <w:rPr>
          <w:b/>
          <w:bCs/>
          <w:i w:val="0"/>
          <w:iCs w:val="0"/>
          <w:color w:val="auto"/>
        </w:rPr>
      </w:pPr>
      <w:r w:rsidRPr="001E2C3C">
        <w:rPr>
          <w:b/>
          <w:bCs/>
          <w:i w:val="0"/>
          <w:iCs w:val="0"/>
          <w:color w:val="auto"/>
        </w:rPr>
        <w:lastRenderedPageBreak/>
        <w:t xml:space="preserve">Figure 3: Housing </w:t>
      </w:r>
      <w:proofErr w:type="gramStart"/>
      <w:r w:rsidRPr="001E2C3C">
        <w:rPr>
          <w:b/>
          <w:bCs/>
          <w:i w:val="0"/>
          <w:iCs w:val="0"/>
          <w:color w:val="auto"/>
        </w:rPr>
        <w:t>Sub Market</w:t>
      </w:r>
      <w:proofErr w:type="gramEnd"/>
      <w:r w:rsidRPr="001E2C3C">
        <w:rPr>
          <w:b/>
          <w:bCs/>
          <w:i w:val="0"/>
          <w:iCs w:val="0"/>
          <w:color w:val="auto"/>
        </w:rPr>
        <w:t xml:space="preserve"> Areas and Community Planning Areas</w:t>
      </w:r>
    </w:p>
    <w:p w14:paraId="097ECA20" w14:textId="77777777" w:rsidR="00A87A7A" w:rsidRDefault="00A87A7A" w:rsidP="00A87A7A">
      <w:r>
        <w:rPr>
          <w:noProof/>
        </w:rPr>
        <w:drawing>
          <wp:inline distT="0" distB="0" distL="0" distR="0" wp14:anchorId="69FDC700" wp14:editId="4F59FE15">
            <wp:extent cx="5724525" cy="4048125"/>
            <wp:effectExtent l="0" t="0" r="9525" b="9525"/>
            <wp:docPr id="12" name="Picture 12" descr="Figure 3: Housing Sub Market Areas and Community Plann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 Housing Sub Market Areas and Community Planning Are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601CD124" w14:textId="77777777" w:rsidR="00A87A7A" w:rsidRDefault="00A87A7A" w:rsidP="00A87A7A"/>
    <w:p w14:paraId="4C902FAA" w14:textId="77777777" w:rsidR="00A87A7A" w:rsidRPr="004A567B" w:rsidRDefault="00A87A7A" w:rsidP="00A87A7A">
      <w:pPr>
        <w:pStyle w:val="NormalWeb"/>
        <w:rPr>
          <w:rFonts w:asciiTheme="minorHAnsi" w:eastAsia="Times New Roman" w:hAnsiTheme="minorHAnsi" w:cstheme="minorHAnsi"/>
          <w:sz w:val="22"/>
          <w:szCs w:val="22"/>
          <w:lang w:val="en" w:eastAsia="en-GB"/>
        </w:rPr>
      </w:pPr>
      <w:r w:rsidRPr="004A567B">
        <w:rPr>
          <w:rFonts w:asciiTheme="minorHAnsi" w:hAnsiTheme="minorHAnsi" w:cstheme="minorHAnsi"/>
          <w:sz w:val="22"/>
          <w:szCs w:val="22"/>
        </w:rPr>
        <w:t xml:space="preserve">Analysis has also been undertaken to look at movement not just between the housing sub market areas but also the SOLD localities. </w:t>
      </w:r>
      <w:r w:rsidRPr="004A567B">
        <w:rPr>
          <w:rFonts w:asciiTheme="minorHAnsi" w:eastAsia="Times New Roman" w:hAnsiTheme="minorHAnsi" w:cstheme="minorHAnsi"/>
          <w:sz w:val="22"/>
          <w:szCs w:val="22"/>
          <w:lang w:val="en" w:eastAsia="en-GB"/>
        </w:rPr>
        <w:t>There are three localities in the Falkirk Council area:</w:t>
      </w:r>
    </w:p>
    <w:p w14:paraId="52816193" w14:textId="77777777" w:rsidR="00A87A7A" w:rsidRDefault="00A87A7A" w:rsidP="00A87A7A">
      <w:pPr>
        <w:pStyle w:val="ListParagraph"/>
        <w:numPr>
          <w:ilvl w:val="0"/>
          <w:numId w:val="5"/>
        </w:numPr>
        <w:spacing w:before="100" w:beforeAutospacing="1" w:after="100" w:afterAutospacing="1" w:line="240" w:lineRule="auto"/>
        <w:rPr>
          <w:rFonts w:eastAsia="Times New Roman" w:cstheme="minorHAnsi"/>
          <w:lang w:val="en" w:eastAsia="en-GB"/>
        </w:rPr>
      </w:pPr>
      <w:r w:rsidRPr="004A567B">
        <w:rPr>
          <w:rFonts w:eastAsia="Times New Roman" w:cstheme="minorHAnsi"/>
          <w:lang w:val="en" w:eastAsia="en-GB"/>
        </w:rPr>
        <w:t>East Locality (Bo'ness and Blackness, Grangemouth and Upper Braes)</w:t>
      </w:r>
    </w:p>
    <w:p w14:paraId="488935EB" w14:textId="77777777" w:rsidR="00A87A7A" w:rsidRDefault="00A87A7A" w:rsidP="00A87A7A">
      <w:pPr>
        <w:pStyle w:val="ListParagraph"/>
        <w:numPr>
          <w:ilvl w:val="0"/>
          <w:numId w:val="5"/>
        </w:numPr>
        <w:spacing w:before="100" w:beforeAutospacing="1" w:after="100" w:afterAutospacing="1" w:line="240" w:lineRule="auto"/>
        <w:rPr>
          <w:rFonts w:eastAsia="Times New Roman" w:cstheme="minorHAnsi"/>
          <w:lang w:val="en" w:eastAsia="en-GB"/>
        </w:rPr>
      </w:pPr>
      <w:r w:rsidRPr="004A567B">
        <w:rPr>
          <w:rFonts w:eastAsia="Times New Roman" w:cstheme="minorHAnsi"/>
          <w:lang w:val="en" w:eastAsia="en-GB"/>
        </w:rPr>
        <w:t>Central Locality (Falkirk North, Falkirk South and Lower Braes)</w:t>
      </w:r>
    </w:p>
    <w:p w14:paraId="52E65954" w14:textId="4A7542FF" w:rsidR="00A87A7A" w:rsidRDefault="00A87A7A" w:rsidP="00A87A7A">
      <w:pPr>
        <w:pStyle w:val="ListParagraph"/>
        <w:numPr>
          <w:ilvl w:val="0"/>
          <w:numId w:val="5"/>
        </w:numPr>
        <w:spacing w:before="100" w:beforeAutospacing="1" w:after="100" w:afterAutospacing="1" w:line="240" w:lineRule="auto"/>
        <w:rPr>
          <w:rFonts w:eastAsia="Times New Roman" w:cstheme="minorHAnsi"/>
          <w:lang w:val="en" w:eastAsia="en-GB"/>
        </w:rPr>
      </w:pPr>
      <w:r w:rsidRPr="004A567B">
        <w:rPr>
          <w:rFonts w:eastAsia="Times New Roman" w:cstheme="minorHAnsi"/>
          <w:lang w:val="en" w:eastAsia="en-GB"/>
        </w:rPr>
        <w:t>West Locality (Denny and Banknock, Bonnybridge and Carse, Kinnaird and Tryst)</w:t>
      </w:r>
    </w:p>
    <w:p w14:paraId="13384BA4" w14:textId="77777777" w:rsidR="00A87A7A" w:rsidRDefault="00A87A7A" w:rsidP="00AE063F">
      <w:pPr>
        <w:spacing w:before="100" w:beforeAutospacing="1" w:after="100" w:afterAutospacing="1" w:line="240" w:lineRule="auto"/>
        <w:rPr>
          <w:rFonts w:cstheme="minorHAnsi"/>
        </w:rPr>
      </w:pPr>
      <w:r w:rsidRPr="00A87A7A">
        <w:rPr>
          <w:rFonts w:eastAsia="Times New Roman" w:cstheme="minorHAnsi"/>
          <w:lang w:val="en" w:eastAsia="en-GB"/>
        </w:rPr>
        <w:t xml:space="preserve">Each locality has around 50,000 residents. </w:t>
      </w:r>
      <w:r w:rsidRPr="00A87A7A">
        <w:rPr>
          <w:rFonts w:cstheme="minorHAnsi"/>
        </w:rPr>
        <w:t>Analysis was undertaken on the 9,813 moves to Falkirk between 2014-2017 with a known origin to look at the destination of these sales in relation to the SOLD localities. The analysis shows that the highest level of self-containment was found in Central locality at 65%, with East and West locality both at 61%.</w:t>
      </w:r>
    </w:p>
    <w:p w14:paraId="513311F6" w14:textId="77777777" w:rsidR="001E2C3C" w:rsidRDefault="00A87A7A" w:rsidP="00A87A7A">
      <w:pPr>
        <w:spacing w:before="100" w:beforeAutospacing="1" w:after="100" w:afterAutospacing="1" w:line="240" w:lineRule="auto"/>
        <w:ind w:left="360"/>
        <w:rPr>
          <w:rFonts w:cstheme="minorHAnsi"/>
          <w:b/>
          <w:bCs/>
        </w:rPr>
      </w:pPr>
      <w:r w:rsidRPr="001E2C3C">
        <w:rPr>
          <w:rStyle w:val="Heading4Char"/>
          <w:b/>
          <w:bCs/>
          <w:i w:val="0"/>
          <w:iCs w:val="0"/>
          <w:color w:val="auto"/>
        </w:rPr>
        <w:t>Figure 4: Self-containment within Community Planning Areas</w:t>
      </w:r>
      <w:r w:rsidRPr="00A87A7A">
        <w:rPr>
          <w:rFonts w:cstheme="minorHAnsi"/>
          <w:b/>
          <w:bCs/>
        </w:rPr>
        <w:t xml:space="preserve"> </w:t>
      </w:r>
    </w:p>
    <w:p w14:paraId="7857899D" w14:textId="02E61EAA" w:rsidR="00A87A7A" w:rsidRPr="00A87A7A" w:rsidRDefault="00A87A7A" w:rsidP="00A87A7A">
      <w:pPr>
        <w:spacing w:before="100" w:beforeAutospacing="1" w:after="100" w:afterAutospacing="1" w:line="240" w:lineRule="auto"/>
        <w:ind w:left="360"/>
        <w:rPr>
          <w:rFonts w:cstheme="minorHAnsi"/>
        </w:rPr>
      </w:pPr>
      <w:r>
        <w:rPr>
          <w:noProof/>
        </w:rPr>
        <w:lastRenderedPageBreak/>
        <w:drawing>
          <wp:inline distT="0" distB="0" distL="0" distR="0" wp14:anchorId="64B65652" wp14:editId="25102E85">
            <wp:extent cx="4584700" cy="2755900"/>
            <wp:effectExtent l="0" t="0" r="6350" b="6350"/>
            <wp:docPr id="3" name="Picture 3" descr="Figure 4: Self-containment within Community Planning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Self-containment within Community Planning Area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147438C" w14:textId="78D55D09" w:rsidR="00A87A7A" w:rsidRDefault="00A87A7A" w:rsidP="00A87A7A">
      <w:pPr>
        <w:rPr>
          <w:rFonts w:cstheme="minorHAnsi"/>
          <w:sz w:val="18"/>
          <w:szCs w:val="18"/>
        </w:rPr>
      </w:pPr>
      <w:r w:rsidRPr="00A87A7A">
        <w:rPr>
          <w:rFonts w:cstheme="minorHAnsi"/>
          <w:sz w:val="18"/>
          <w:szCs w:val="18"/>
        </w:rPr>
        <w:t>Source: Registers of Scotland with further processing by Scottish Government</w:t>
      </w:r>
    </w:p>
    <w:p w14:paraId="7F3901D7" w14:textId="77777777" w:rsidR="001E2C3C" w:rsidRDefault="001E2C3C">
      <w:pPr>
        <w:rPr>
          <w:rFonts w:asciiTheme="majorHAnsi" w:eastAsia="Times New Roman" w:hAnsiTheme="majorHAnsi" w:cstheme="majorBidi"/>
          <w:sz w:val="24"/>
          <w:szCs w:val="24"/>
          <w:lang w:eastAsia="en-GB"/>
        </w:rPr>
      </w:pPr>
      <w:r>
        <w:rPr>
          <w:rFonts w:eastAsia="Times New Roman"/>
          <w:lang w:eastAsia="en-GB"/>
        </w:rPr>
        <w:br w:type="page"/>
      </w:r>
    </w:p>
    <w:p w14:paraId="4098CF7D" w14:textId="2F44D8AC" w:rsidR="00A87A7A" w:rsidRPr="001E2C3C" w:rsidRDefault="00A87A7A" w:rsidP="00AE063F">
      <w:pPr>
        <w:pStyle w:val="Heading3"/>
        <w:rPr>
          <w:rFonts w:eastAsia="Times New Roman"/>
          <w:b/>
          <w:bCs/>
          <w:color w:val="auto"/>
          <w:lang w:eastAsia="en-GB"/>
        </w:rPr>
      </w:pPr>
      <w:r w:rsidRPr="001E2C3C">
        <w:rPr>
          <w:rFonts w:eastAsia="Times New Roman"/>
          <w:b/>
          <w:bCs/>
          <w:color w:val="auto"/>
          <w:lang w:eastAsia="en-GB"/>
        </w:rPr>
        <w:lastRenderedPageBreak/>
        <w:t xml:space="preserve">Sales by Housing </w:t>
      </w:r>
      <w:proofErr w:type="gramStart"/>
      <w:r w:rsidRPr="001E2C3C">
        <w:rPr>
          <w:rFonts w:eastAsia="Times New Roman"/>
          <w:b/>
          <w:bCs/>
          <w:color w:val="auto"/>
          <w:lang w:eastAsia="en-GB"/>
        </w:rPr>
        <w:t>Sub Market</w:t>
      </w:r>
      <w:proofErr w:type="gramEnd"/>
      <w:r w:rsidRPr="001E2C3C">
        <w:rPr>
          <w:rFonts w:eastAsia="Times New Roman"/>
          <w:b/>
          <w:bCs/>
          <w:color w:val="auto"/>
          <w:lang w:eastAsia="en-GB"/>
        </w:rPr>
        <w:t xml:space="preserve"> Area</w:t>
      </w:r>
    </w:p>
    <w:p w14:paraId="415CB7D7" w14:textId="77777777" w:rsidR="00A87A7A" w:rsidRPr="001E2C3C" w:rsidRDefault="00A87A7A" w:rsidP="00AE063F">
      <w:pPr>
        <w:pStyle w:val="Heading3"/>
        <w:rPr>
          <w:rFonts w:eastAsia="Times New Roman"/>
          <w:b/>
          <w:bCs/>
          <w:color w:val="auto"/>
          <w:lang w:eastAsia="en-GB"/>
        </w:rPr>
      </w:pPr>
    </w:p>
    <w:p w14:paraId="1D058D3F" w14:textId="77777777" w:rsidR="00A87A7A" w:rsidRPr="001E2C3C" w:rsidRDefault="00A87A7A" w:rsidP="00AE063F">
      <w:pPr>
        <w:pStyle w:val="Heading3"/>
        <w:rPr>
          <w:rFonts w:eastAsia="Times New Roman"/>
          <w:b/>
          <w:bCs/>
          <w:color w:val="auto"/>
          <w:lang w:eastAsia="en-GB"/>
        </w:rPr>
      </w:pPr>
      <w:r w:rsidRPr="001E2C3C">
        <w:rPr>
          <w:rFonts w:eastAsia="Times New Roman"/>
          <w:b/>
          <w:bCs/>
          <w:color w:val="auto"/>
          <w:lang w:eastAsia="en-GB"/>
        </w:rPr>
        <w:t xml:space="preserve">Bo’ness </w:t>
      </w:r>
    </w:p>
    <w:p w14:paraId="53E68872" w14:textId="77777777" w:rsidR="00A87A7A" w:rsidRDefault="00A87A7A" w:rsidP="00A87A7A">
      <w:pPr>
        <w:rPr>
          <w:rFonts w:eastAsia="Times New Roman" w:cstheme="minorHAnsi"/>
          <w:lang w:eastAsia="en-GB"/>
        </w:rPr>
      </w:pPr>
      <w:r>
        <w:rPr>
          <w:rFonts w:cstheme="minorHAnsi"/>
        </w:rPr>
        <w:t xml:space="preserve">When looking at sales from within the council area, the self-containment levels in Bo’ness is 75% which is slightly higher than the 71% for the last HNDA. There were a total of 596 sales in the Bo’ness area between 2014-2017 where the area of origin was known. Figure 5 looks at the origin of sales in the Bo’ness area and includes those that live within and outwith the Council area. It highlights that 47% of sales in Bo’ness are to people who live in the area which is just one percentage point increase on the analysis undertaken for the last HNDA. </w:t>
      </w:r>
      <w:r>
        <w:rPr>
          <w:rFonts w:eastAsia="Times New Roman" w:cstheme="minorHAnsi"/>
          <w:lang w:eastAsia="en-GB"/>
        </w:rPr>
        <w:t>It also highlights that t</w:t>
      </w:r>
      <w:r w:rsidRPr="00FA6AD9">
        <w:rPr>
          <w:rFonts w:eastAsia="Times New Roman" w:cstheme="minorHAnsi"/>
          <w:lang w:eastAsia="en-GB"/>
        </w:rPr>
        <w:t>he scale of moves originating from other housing market sub areas in Falkirk is relatively weak (between 1% and 3%).</w:t>
      </w:r>
    </w:p>
    <w:p w14:paraId="4E0D4D36" w14:textId="77777777" w:rsidR="00A87A7A" w:rsidRPr="00FA6AD9" w:rsidRDefault="00A87A7A" w:rsidP="00A87A7A">
      <w:pPr>
        <w:rPr>
          <w:rFonts w:cstheme="minorHAnsi"/>
        </w:rPr>
      </w:pPr>
      <w:r>
        <w:rPr>
          <w:rFonts w:cstheme="minorHAnsi"/>
        </w:rPr>
        <w:t>Figure 5 also shows that 17% of sales are to people from neighbouring West Lothian Council and 12% from the City of Edinburgh Council</w:t>
      </w:r>
      <w:r w:rsidRPr="00FA6AD9">
        <w:rPr>
          <w:rFonts w:cstheme="minorHAnsi"/>
        </w:rPr>
        <w:t xml:space="preserve">.  </w:t>
      </w:r>
      <w:r>
        <w:rPr>
          <w:rFonts w:cstheme="minorHAnsi"/>
        </w:rPr>
        <w:t>When compared to analysis undertaken for the last HNDA it highlights that there has been a reduction of 7 percentage point reduction in the number of sales from West Lothian but the number of sales from Edinburgh have stayed the same.</w:t>
      </w:r>
    </w:p>
    <w:p w14:paraId="45F978D4" w14:textId="77777777" w:rsidR="00A87A7A" w:rsidRDefault="00A87A7A" w:rsidP="00A87A7A">
      <w:pPr>
        <w:spacing w:after="0" w:line="240" w:lineRule="auto"/>
        <w:jc w:val="both"/>
        <w:rPr>
          <w:rFonts w:eastAsia="Times New Roman" w:cstheme="minorHAnsi"/>
          <w:b/>
          <w:sz w:val="24"/>
          <w:szCs w:val="24"/>
          <w:lang w:eastAsia="en-GB"/>
        </w:rPr>
      </w:pPr>
    </w:p>
    <w:p w14:paraId="1D5C9E90" w14:textId="4908A09F" w:rsidR="00A87A7A" w:rsidRPr="001E2C3C" w:rsidRDefault="00A87A7A" w:rsidP="001E2C3C">
      <w:pPr>
        <w:pStyle w:val="Heading4"/>
        <w:rPr>
          <w:rFonts w:eastAsia="Times New Roman"/>
          <w:b/>
          <w:bCs/>
          <w:i w:val="0"/>
          <w:iCs w:val="0"/>
          <w:color w:val="auto"/>
          <w:lang w:eastAsia="en-GB"/>
        </w:rPr>
      </w:pPr>
      <w:r w:rsidRPr="001E2C3C">
        <w:rPr>
          <w:rFonts w:eastAsia="Times New Roman"/>
          <w:b/>
          <w:bCs/>
          <w:i w:val="0"/>
          <w:iCs w:val="0"/>
          <w:color w:val="auto"/>
          <w:lang w:eastAsia="en-GB"/>
        </w:rPr>
        <w:t>Figure 5: House Sales in Bo’ness by Area of Origin 2014-2017</w:t>
      </w:r>
    </w:p>
    <w:p w14:paraId="053BBCC7" w14:textId="77777777" w:rsidR="00A87A7A" w:rsidRDefault="00A87A7A" w:rsidP="00A87A7A">
      <w:pPr>
        <w:rPr>
          <w:rFonts w:cstheme="minorHAnsi"/>
        </w:rPr>
      </w:pPr>
      <w:r>
        <w:rPr>
          <w:rFonts w:cstheme="minorHAnsi"/>
          <w:noProof/>
        </w:rPr>
        <w:drawing>
          <wp:inline distT="0" distB="0" distL="0" distR="0" wp14:anchorId="71BE8286" wp14:editId="0E117B5A">
            <wp:extent cx="5742940" cy="4377055"/>
            <wp:effectExtent l="0" t="0" r="0" b="4445"/>
            <wp:docPr id="4" name="Picture 4" descr="Figure 5: House Sales in Bo’ness by Area of Origin 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House Sales in Bo’ness by Area of Origin 2014-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4377055"/>
                    </a:xfrm>
                    <a:prstGeom prst="rect">
                      <a:avLst/>
                    </a:prstGeom>
                    <a:noFill/>
                  </pic:spPr>
                </pic:pic>
              </a:graphicData>
            </a:graphic>
          </wp:inline>
        </w:drawing>
      </w:r>
    </w:p>
    <w:p w14:paraId="5FC5D630" w14:textId="77777777" w:rsidR="00A87A7A" w:rsidRPr="00A35003" w:rsidRDefault="00A87A7A" w:rsidP="00A87A7A">
      <w:pPr>
        <w:rPr>
          <w:rFonts w:cstheme="minorHAnsi"/>
        </w:rPr>
      </w:pPr>
      <w:r w:rsidRPr="00A35003">
        <w:rPr>
          <w:rFonts w:cstheme="minorHAnsi"/>
          <w:sz w:val="18"/>
          <w:szCs w:val="18"/>
        </w:rPr>
        <w:t>Source: Registers of Scotland with further processing by Scottish Government</w:t>
      </w:r>
    </w:p>
    <w:p w14:paraId="43B6DC9C" w14:textId="77777777" w:rsidR="00A87A7A" w:rsidRDefault="00A87A7A" w:rsidP="00A87A7A">
      <w:pPr>
        <w:rPr>
          <w:rFonts w:cstheme="minorHAnsi"/>
        </w:rPr>
      </w:pPr>
    </w:p>
    <w:p w14:paraId="593A1919" w14:textId="77777777" w:rsidR="00A87A7A" w:rsidRPr="001E2C3C" w:rsidRDefault="00A87A7A" w:rsidP="00A87A7A">
      <w:pPr>
        <w:pStyle w:val="Heading3"/>
        <w:rPr>
          <w:b/>
          <w:bCs/>
          <w:color w:val="auto"/>
        </w:rPr>
      </w:pPr>
      <w:r w:rsidRPr="001E2C3C">
        <w:rPr>
          <w:b/>
          <w:bCs/>
          <w:color w:val="auto"/>
        </w:rPr>
        <w:lastRenderedPageBreak/>
        <w:t>Denny &amp; Bonnybridge</w:t>
      </w:r>
    </w:p>
    <w:p w14:paraId="24E1B86A" w14:textId="77777777" w:rsidR="00A87A7A" w:rsidRPr="00F37DC4" w:rsidRDefault="00A87A7A" w:rsidP="00A87A7A">
      <w:pPr>
        <w:rPr>
          <w:rFonts w:eastAsia="Times New Roman" w:cstheme="minorHAnsi"/>
          <w:lang w:eastAsia="en-GB"/>
        </w:rPr>
      </w:pPr>
      <w:r>
        <w:rPr>
          <w:rFonts w:cstheme="minorHAnsi"/>
        </w:rPr>
        <w:t xml:space="preserve">When looking at sales from within the council area, the self-containment levels in Denny &amp; Bonnybridge is 73% which is slightly lower than the 75% found in the last HNDA. Figure 6 looks at the origin of sales in the Denny &amp; Bonnybridge area and includes those that live within and outwith the Council area. It highlights that 49% of sales are from the Denny &amp; Bonnybridge area which is a 4 percentage point decrease on analysis undertaken for the last HNDA. </w:t>
      </w:r>
      <w:r>
        <w:rPr>
          <w:rFonts w:eastAsia="Times New Roman" w:cstheme="minorHAnsi"/>
          <w:lang w:eastAsia="en-GB"/>
        </w:rPr>
        <w:t>It also highlights that t</w:t>
      </w:r>
      <w:r w:rsidRPr="00FA6AD9">
        <w:rPr>
          <w:rFonts w:eastAsia="Times New Roman" w:cstheme="minorHAnsi"/>
          <w:lang w:eastAsia="en-GB"/>
        </w:rPr>
        <w:t xml:space="preserve">he scale of moves originating from other housing market sub areas in Falkirk is relatively weak (between </w:t>
      </w:r>
      <w:r>
        <w:rPr>
          <w:rFonts w:eastAsia="Times New Roman" w:cstheme="minorHAnsi"/>
          <w:lang w:eastAsia="en-GB"/>
        </w:rPr>
        <w:t>0</w:t>
      </w:r>
      <w:r w:rsidRPr="00FA6AD9">
        <w:rPr>
          <w:rFonts w:eastAsia="Times New Roman" w:cstheme="minorHAnsi"/>
          <w:lang w:eastAsia="en-GB"/>
        </w:rPr>
        <w:t xml:space="preserve">% and </w:t>
      </w:r>
      <w:r>
        <w:rPr>
          <w:rFonts w:eastAsia="Times New Roman" w:cstheme="minorHAnsi"/>
          <w:lang w:eastAsia="en-GB"/>
        </w:rPr>
        <w:t>7</w:t>
      </w:r>
      <w:r w:rsidRPr="00FA6AD9">
        <w:rPr>
          <w:rFonts w:eastAsia="Times New Roman" w:cstheme="minorHAnsi"/>
          <w:lang w:eastAsia="en-GB"/>
        </w:rPr>
        <w:t>%).</w:t>
      </w:r>
    </w:p>
    <w:p w14:paraId="026C764E" w14:textId="46648DD5" w:rsidR="00A87A7A" w:rsidRDefault="00A87A7A" w:rsidP="00A87A7A">
      <w:pPr>
        <w:rPr>
          <w:rFonts w:cstheme="minorHAnsi"/>
        </w:rPr>
      </w:pPr>
      <w:r>
        <w:rPr>
          <w:rFonts w:cstheme="minorHAnsi"/>
        </w:rPr>
        <w:t xml:space="preserve">Figure 6 also shows that 15% are to people from neighbouring Stirling at 11% and from the rest of Scotland at 15%. When compared to analysis for the previous HNDA it shows that that sales from the rest of Scotland have increased by 3 percentage points and sales from Stirling have increased by 5 percentage points.  In comparison the number of moves from North Lanarkshire in the previous HNDA accounted for 10% of all sales, this compares to 5% for 2014-2017 sales. </w:t>
      </w:r>
    </w:p>
    <w:p w14:paraId="7C347212" w14:textId="77777777" w:rsidR="00A87A7A" w:rsidRDefault="00A87A7A" w:rsidP="00A87A7A">
      <w:pPr>
        <w:rPr>
          <w:rFonts w:cstheme="minorHAnsi"/>
        </w:rPr>
      </w:pPr>
    </w:p>
    <w:p w14:paraId="15B5DD9A" w14:textId="6B06D5FE" w:rsidR="00A87A7A" w:rsidRPr="001E2C3C" w:rsidRDefault="00A87A7A" w:rsidP="001E2C3C">
      <w:pPr>
        <w:pStyle w:val="Heading4"/>
        <w:rPr>
          <w:rFonts w:eastAsia="Times New Roman"/>
          <w:b/>
          <w:bCs/>
          <w:i w:val="0"/>
          <w:iCs w:val="0"/>
          <w:color w:val="auto"/>
          <w:lang w:eastAsia="en-GB"/>
        </w:rPr>
      </w:pPr>
      <w:r w:rsidRPr="001E2C3C">
        <w:rPr>
          <w:rFonts w:eastAsia="Times New Roman"/>
          <w:b/>
          <w:bCs/>
          <w:i w:val="0"/>
          <w:iCs w:val="0"/>
          <w:color w:val="auto"/>
          <w:lang w:eastAsia="en-GB"/>
        </w:rPr>
        <w:t>Figure 6: House Sales in Denny &amp; Bonnybridge by Area of Origin 2014-2017</w:t>
      </w:r>
    </w:p>
    <w:p w14:paraId="7D031F07" w14:textId="77777777" w:rsidR="00A87A7A" w:rsidRDefault="00A87A7A" w:rsidP="00A87A7A">
      <w:pPr>
        <w:rPr>
          <w:rFonts w:cstheme="minorHAnsi"/>
        </w:rPr>
      </w:pPr>
      <w:r>
        <w:rPr>
          <w:rFonts w:cstheme="minorHAnsi"/>
          <w:noProof/>
        </w:rPr>
        <w:drawing>
          <wp:inline distT="0" distB="0" distL="0" distR="0" wp14:anchorId="4E354E67" wp14:editId="413E8DFC">
            <wp:extent cx="5614670" cy="4432300"/>
            <wp:effectExtent l="0" t="0" r="5080" b="6350"/>
            <wp:docPr id="10" name="Picture 10" descr="Figure 6: House Sales in Denny &amp; Bonnybridge by Area of Origin 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House Sales in Denny &amp; Bonnybridge by Area of Origin 2014-20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4432300"/>
                    </a:xfrm>
                    <a:prstGeom prst="rect">
                      <a:avLst/>
                    </a:prstGeom>
                    <a:noFill/>
                  </pic:spPr>
                </pic:pic>
              </a:graphicData>
            </a:graphic>
          </wp:inline>
        </w:drawing>
      </w:r>
    </w:p>
    <w:p w14:paraId="7BCA57AF" w14:textId="77777777" w:rsidR="00A87A7A" w:rsidRPr="00A35003" w:rsidRDefault="00A87A7A" w:rsidP="00A87A7A">
      <w:pPr>
        <w:rPr>
          <w:rFonts w:cstheme="minorHAnsi"/>
        </w:rPr>
      </w:pPr>
      <w:r w:rsidRPr="00A35003">
        <w:rPr>
          <w:rFonts w:cstheme="minorHAnsi"/>
          <w:sz w:val="18"/>
          <w:szCs w:val="18"/>
        </w:rPr>
        <w:t>Source: Registers of Scotland with further processing by Scottish Government</w:t>
      </w:r>
    </w:p>
    <w:p w14:paraId="1C92D66D" w14:textId="77777777" w:rsidR="00A87A7A" w:rsidRDefault="00A87A7A" w:rsidP="00A87A7A">
      <w:pPr>
        <w:rPr>
          <w:rFonts w:cstheme="minorHAnsi"/>
        </w:rPr>
      </w:pPr>
    </w:p>
    <w:p w14:paraId="4838E532" w14:textId="77777777" w:rsidR="00A87A7A" w:rsidRDefault="00A87A7A" w:rsidP="00A87A7A">
      <w:pPr>
        <w:rPr>
          <w:rFonts w:cstheme="minorHAnsi"/>
        </w:rPr>
      </w:pPr>
    </w:p>
    <w:p w14:paraId="49BD8196" w14:textId="77777777" w:rsidR="00A87A7A" w:rsidRPr="001E2C3C" w:rsidRDefault="00A87A7A" w:rsidP="00A87A7A">
      <w:pPr>
        <w:pStyle w:val="Heading3"/>
        <w:rPr>
          <w:b/>
          <w:bCs/>
          <w:color w:val="auto"/>
        </w:rPr>
      </w:pPr>
      <w:r>
        <w:br w:type="page"/>
      </w:r>
      <w:r w:rsidRPr="001E2C3C">
        <w:rPr>
          <w:b/>
          <w:bCs/>
          <w:color w:val="auto"/>
        </w:rPr>
        <w:lastRenderedPageBreak/>
        <w:t>Falkirk</w:t>
      </w:r>
    </w:p>
    <w:p w14:paraId="062129D8" w14:textId="77777777" w:rsidR="00A87A7A" w:rsidRDefault="00A87A7A" w:rsidP="00A87A7A">
      <w:pPr>
        <w:rPr>
          <w:rFonts w:cstheme="minorHAnsi"/>
        </w:rPr>
      </w:pPr>
      <w:r>
        <w:rPr>
          <w:rFonts w:cstheme="minorHAnsi"/>
        </w:rPr>
        <w:t xml:space="preserve">When looking at sales from within the council area, the self-containment levels in Falkirk is 50% which is an increase from the 47% found in the last HNDA. Figure 7 looks at the origin of sales in the Falkirk area and includes those that live within and outwith the Council area. It highlights that 47% of sales is from the area itself which is a 4 percentage point decrease on analysis undertaken for the last HNDA. </w:t>
      </w:r>
    </w:p>
    <w:p w14:paraId="414EE87C" w14:textId="77777777" w:rsidR="00A87A7A" w:rsidRPr="00F37DC4" w:rsidRDefault="00A87A7A" w:rsidP="00A87A7A">
      <w:pPr>
        <w:rPr>
          <w:rFonts w:eastAsia="Times New Roman" w:cstheme="minorHAnsi"/>
          <w:lang w:eastAsia="en-GB"/>
        </w:rPr>
      </w:pPr>
      <w:r w:rsidRPr="00D31832">
        <w:rPr>
          <w:rFonts w:eastAsia="Times New Roman" w:cstheme="minorHAnsi"/>
          <w:lang w:eastAsia="en-GB"/>
        </w:rPr>
        <w:t>The scale of sales originating from other housing sub market areas is relatively small 2-4%, apart from</w:t>
      </w:r>
      <w:r w:rsidRPr="00D31832">
        <w:rPr>
          <w:rFonts w:cstheme="minorHAnsi"/>
        </w:rPr>
        <w:t xml:space="preserve"> Stenhousemuir, Larbert &amp; Rural North at 11%, </w:t>
      </w:r>
      <w:r>
        <w:rPr>
          <w:rFonts w:cstheme="minorHAnsi"/>
        </w:rPr>
        <w:t>Braes</w:t>
      </w:r>
      <w:r w:rsidRPr="00D31832">
        <w:rPr>
          <w:rFonts w:cstheme="minorHAnsi"/>
        </w:rPr>
        <w:t xml:space="preserve"> &amp; Rural South at 10%.</w:t>
      </w:r>
      <w:r>
        <w:rPr>
          <w:rFonts w:cstheme="minorHAnsi"/>
        </w:rPr>
        <w:t xml:space="preserve">  This is an increase on analysis undertaken for the last HNDA which were 9% and 8% respectively. There are also a relatively high number of buyers coming from the rest of Scotland at 9% but this is a 4 percentage point decrease on analysis undertaken for the last HNDA.</w:t>
      </w:r>
    </w:p>
    <w:p w14:paraId="0B39AC8D" w14:textId="77777777" w:rsidR="00A87A7A" w:rsidRDefault="00A87A7A" w:rsidP="00A87A7A">
      <w:pPr>
        <w:rPr>
          <w:rFonts w:cstheme="minorHAnsi"/>
        </w:rPr>
      </w:pPr>
    </w:p>
    <w:p w14:paraId="3292A732" w14:textId="004C5023" w:rsidR="00A87A7A" w:rsidRPr="001E2C3C" w:rsidRDefault="00A87A7A" w:rsidP="001E2C3C">
      <w:pPr>
        <w:pStyle w:val="Heading4"/>
        <w:rPr>
          <w:rFonts w:eastAsia="Times New Roman"/>
          <w:b/>
          <w:bCs/>
          <w:i w:val="0"/>
          <w:iCs w:val="0"/>
          <w:color w:val="auto"/>
          <w:lang w:eastAsia="en-GB"/>
        </w:rPr>
      </w:pPr>
      <w:r w:rsidRPr="001E2C3C">
        <w:rPr>
          <w:rFonts w:eastAsia="Times New Roman"/>
          <w:b/>
          <w:bCs/>
          <w:i w:val="0"/>
          <w:iCs w:val="0"/>
          <w:color w:val="auto"/>
          <w:lang w:eastAsia="en-GB"/>
        </w:rPr>
        <w:t>Figure 7: House Sales in Falkirk by Area of Origin 2014-2017</w:t>
      </w:r>
    </w:p>
    <w:p w14:paraId="3F24EA0D" w14:textId="77777777" w:rsidR="00A87A7A" w:rsidRDefault="00A87A7A" w:rsidP="00A87A7A">
      <w:pPr>
        <w:rPr>
          <w:rFonts w:cstheme="minorHAnsi"/>
        </w:rPr>
      </w:pPr>
      <w:r>
        <w:rPr>
          <w:rFonts w:cstheme="minorHAnsi"/>
          <w:noProof/>
        </w:rPr>
        <w:drawing>
          <wp:inline distT="0" distB="0" distL="0" distR="0" wp14:anchorId="1B7E1A55" wp14:editId="5DDE04F1">
            <wp:extent cx="5309870" cy="4139565"/>
            <wp:effectExtent l="0" t="0" r="5080" b="0"/>
            <wp:docPr id="5" name="Picture 5" descr="Figure 7: House Sales in Falkirk by Area of Origin 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7: House Sales in Falkirk by Area of Origin 2014-2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9870" cy="4139565"/>
                    </a:xfrm>
                    <a:prstGeom prst="rect">
                      <a:avLst/>
                    </a:prstGeom>
                    <a:noFill/>
                  </pic:spPr>
                </pic:pic>
              </a:graphicData>
            </a:graphic>
          </wp:inline>
        </w:drawing>
      </w:r>
    </w:p>
    <w:p w14:paraId="0633DA1B" w14:textId="77777777" w:rsidR="00A87A7A" w:rsidRPr="00A35003" w:rsidRDefault="00A87A7A" w:rsidP="00A87A7A">
      <w:pPr>
        <w:rPr>
          <w:rFonts w:cstheme="minorHAnsi"/>
        </w:rPr>
      </w:pPr>
      <w:r w:rsidRPr="00A35003">
        <w:rPr>
          <w:rFonts w:cstheme="minorHAnsi"/>
          <w:sz w:val="18"/>
          <w:szCs w:val="18"/>
        </w:rPr>
        <w:t>Source: Registers of Scotland with further processing by Scottish Government</w:t>
      </w:r>
    </w:p>
    <w:p w14:paraId="0E42E812" w14:textId="77777777" w:rsidR="00A87A7A" w:rsidRDefault="00A87A7A" w:rsidP="00A87A7A">
      <w:pPr>
        <w:rPr>
          <w:rFonts w:cstheme="minorHAnsi"/>
        </w:rPr>
      </w:pPr>
      <w:r>
        <w:rPr>
          <w:rFonts w:cstheme="minorHAnsi"/>
        </w:rPr>
        <w:br w:type="page"/>
      </w:r>
    </w:p>
    <w:p w14:paraId="37CDBF19" w14:textId="77777777" w:rsidR="00A87A7A" w:rsidRPr="001E2C3C" w:rsidRDefault="00A87A7A" w:rsidP="00A87A7A">
      <w:pPr>
        <w:pStyle w:val="Heading3"/>
        <w:rPr>
          <w:b/>
          <w:bCs/>
          <w:color w:val="auto"/>
        </w:rPr>
      </w:pPr>
      <w:r w:rsidRPr="001E2C3C">
        <w:rPr>
          <w:b/>
          <w:bCs/>
          <w:color w:val="auto"/>
        </w:rPr>
        <w:lastRenderedPageBreak/>
        <w:t>Grangemouth</w:t>
      </w:r>
    </w:p>
    <w:p w14:paraId="6B2903A3" w14:textId="77777777" w:rsidR="00A87A7A" w:rsidRDefault="00A87A7A" w:rsidP="00A87A7A">
      <w:pPr>
        <w:rPr>
          <w:rFonts w:cstheme="minorHAnsi"/>
        </w:rPr>
      </w:pPr>
      <w:r>
        <w:rPr>
          <w:rFonts w:cstheme="minorHAnsi"/>
        </w:rPr>
        <w:t xml:space="preserve">When looking at sales from within the council area, the self-containment levels in Grangemouth are 57%, which is a decrease on the 64% found in the last HNDA. Figure 8 looks at the origin of sales in the Grangemouth area and includes those that live within and outwith the Council area. It highlights that 44% of sales are from the Grangemouth area, which is a 5 percentage point decrease on analysis undertaken for the last HNDA. There were also a number of sales from Falkirk at 15%, Braes &amp; Rural South at 9% and Stenhousemuir, Larbert and Rural North at 7%. This shows a small change from the analysis undertaken for the previous HNDA with the number of sales from Falkirk and Braes &amp; Rural South increasing by 1 percentage point and those from Stenhousemuir, Larbert and Rural North increasing by 2 percentage points. </w:t>
      </w:r>
    </w:p>
    <w:p w14:paraId="1F7D7117" w14:textId="77777777" w:rsidR="00A87A7A" w:rsidRPr="003863BE" w:rsidRDefault="00A87A7A" w:rsidP="00A87A7A">
      <w:pPr>
        <w:rPr>
          <w:rFonts w:eastAsia="Times New Roman" w:cstheme="minorHAnsi"/>
          <w:lang w:eastAsia="en-GB"/>
        </w:rPr>
      </w:pPr>
      <w:r w:rsidRPr="003863BE">
        <w:rPr>
          <w:rFonts w:eastAsia="Times New Roman" w:cstheme="minorHAnsi"/>
          <w:lang w:eastAsia="en-GB"/>
        </w:rPr>
        <w:t xml:space="preserve">Moves from neighbouring council areas were relatively small ranging from 2-4%. </w:t>
      </w:r>
    </w:p>
    <w:p w14:paraId="2A682FFC" w14:textId="77777777" w:rsidR="00A87A7A" w:rsidRDefault="00A87A7A" w:rsidP="00A87A7A">
      <w:pPr>
        <w:rPr>
          <w:rFonts w:cstheme="minorHAnsi"/>
        </w:rPr>
      </w:pPr>
    </w:p>
    <w:p w14:paraId="46A2FF44" w14:textId="0AAB00B2" w:rsidR="00A87A7A" w:rsidRPr="001E2C3C" w:rsidRDefault="00A87A7A" w:rsidP="001E2C3C">
      <w:pPr>
        <w:pStyle w:val="Heading4"/>
        <w:rPr>
          <w:rFonts w:eastAsia="Times New Roman"/>
          <w:b/>
          <w:bCs/>
          <w:i w:val="0"/>
          <w:iCs w:val="0"/>
          <w:color w:val="auto"/>
          <w:lang w:eastAsia="en-GB"/>
        </w:rPr>
      </w:pPr>
      <w:r w:rsidRPr="001E2C3C">
        <w:rPr>
          <w:rFonts w:eastAsia="Times New Roman"/>
          <w:b/>
          <w:bCs/>
          <w:i w:val="0"/>
          <w:iCs w:val="0"/>
          <w:color w:val="auto"/>
          <w:lang w:eastAsia="en-GB"/>
        </w:rPr>
        <w:t>Figure 8: House Sales in Grangemouth by Area of Origin 2014-2017</w:t>
      </w:r>
    </w:p>
    <w:p w14:paraId="7627BA21" w14:textId="77777777" w:rsidR="00A87A7A" w:rsidRDefault="00A87A7A" w:rsidP="00A87A7A">
      <w:pPr>
        <w:rPr>
          <w:rFonts w:cstheme="minorHAnsi"/>
        </w:rPr>
      </w:pPr>
      <w:r>
        <w:rPr>
          <w:rFonts w:cstheme="minorHAnsi"/>
          <w:noProof/>
        </w:rPr>
        <w:drawing>
          <wp:inline distT="0" distB="0" distL="0" distR="0" wp14:anchorId="5165B520" wp14:editId="614E9556">
            <wp:extent cx="5121275" cy="4017645"/>
            <wp:effectExtent l="0" t="0" r="3175" b="1905"/>
            <wp:docPr id="6" name="Picture 6" descr="Figure 8: House Sales in Grangemouth by Area of Origin 2014-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8: House Sales in Grangemouth by Area of Origin 2014-2017&#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1275" cy="4017645"/>
                    </a:xfrm>
                    <a:prstGeom prst="rect">
                      <a:avLst/>
                    </a:prstGeom>
                    <a:noFill/>
                  </pic:spPr>
                </pic:pic>
              </a:graphicData>
            </a:graphic>
          </wp:inline>
        </w:drawing>
      </w:r>
    </w:p>
    <w:p w14:paraId="6D1C6970" w14:textId="77777777" w:rsidR="00A87A7A" w:rsidRPr="00A35003" w:rsidRDefault="00A87A7A" w:rsidP="00A87A7A">
      <w:pPr>
        <w:rPr>
          <w:rFonts w:cstheme="minorHAnsi"/>
        </w:rPr>
      </w:pPr>
      <w:r w:rsidRPr="00A35003">
        <w:rPr>
          <w:rFonts w:cstheme="minorHAnsi"/>
          <w:sz w:val="18"/>
          <w:szCs w:val="18"/>
        </w:rPr>
        <w:t>Source: Registers of Scotland with further processing by Scottish Government</w:t>
      </w:r>
    </w:p>
    <w:p w14:paraId="7605EBCA" w14:textId="77777777" w:rsidR="00A87A7A" w:rsidRDefault="00A87A7A" w:rsidP="00A87A7A">
      <w:pPr>
        <w:rPr>
          <w:rFonts w:cstheme="minorHAnsi"/>
        </w:rPr>
      </w:pPr>
      <w:r>
        <w:rPr>
          <w:rFonts w:cstheme="minorHAnsi"/>
        </w:rPr>
        <w:br w:type="page"/>
      </w:r>
    </w:p>
    <w:p w14:paraId="5C339932" w14:textId="77777777" w:rsidR="00A87A7A" w:rsidRPr="001E2C3C" w:rsidRDefault="00A87A7A" w:rsidP="00A87A7A">
      <w:pPr>
        <w:pStyle w:val="Heading3"/>
        <w:rPr>
          <w:b/>
          <w:bCs/>
          <w:color w:val="auto"/>
        </w:rPr>
      </w:pPr>
      <w:r w:rsidRPr="001E2C3C">
        <w:rPr>
          <w:b/>
          <w:bCs/>
          <w:color w:val="auto"/>
        </w:rPr>
        <w:lastRenderedPageBreak/>
        <w:t>Braes &amp; Rural South</w:t>
      </w:r>
    </w:p>
    <w:p w14:paraId="4288F3E6" w14:textId="77777777" w:rsidR="00A87A7A" w:rsidRDefault="00A87A7A" w:rsidP="00A87A7A">
      <w:pPr>
        <w:rPr>
          <w:rFonts w:cstheme="minorHAnsi"/>
        </w:rPr>
      </w:pPr>
      <w:r>
        <w:rPr>
          <w:rFonts w:cstheme="minorHAnsi"/>
        </w:rPr>
        <w:t xml:space="preserve">When looking at sales from within the council area, the self-containment levels in Braes &amp; Rural South is 63%, which is a slight decrease on the 64% found in the last HNDA. Figure 9 looks at the origin of sales in the Braes &amp; Rural South area and includes those that live within and outwith the Council area. It highlights that 34% of sales are from the Braes &amp; Rural South area which is the same as analysis undertaken for the previous HNDA. It also shows that there were a significant number of sales at 24% from Falkirk which is a 2 percentage point decrease in analysis undertaken for the last HNDA. </w:t>
      </w:r>
    </w:p>
    <w:p w14:paraId="1B018524" w14:textId="77777777" w:rsidR="00A87A7A" w:rsidRPr="00765974" w:rsidRDefault="00A87A7A" w:rsidP="00A87A7A">
      <w:pPr>
        <w:rPr>
          <w:rFonts w:eastAsia="Times New Roman" w:cstheme="minorHAnsi"/>
          <w:lang w:eastAsia="en-GB"/>
        </w:rPr>
      </w:pPr>
      <w:r w:rsidRPr="00765974">
        <w:rPr>
          <w:rFonts w:eastAsia="Times New Roman" w:cstheme="minorHAnsi"/>
          <w:lang w:eastAsia="en-GB"/>
        </w:rPr>
        <w:t xml:space="preserve">This compares to sales from other housing market areas which range from 2%-5%. Moves from neighbouring council areas were also relatively small apart from West Lothian which was 7%. </w:t>
      </w:r>
    </w:p>
    <w:p w14:paraId="245D6D9A" w14:textId="77777777" w:rsidR="00A87A7A" w:rsidRDefault="00A87A7A" w:rsidP="00A87A7A">
      <w:pPr>
        <w:rPr>
          <w:rFonts w:cstheme="minorHAnsi"/>
        </w:rPr>
      </w:pPr>
    </w:p>
    <w:p w14:paraId="23E69977" w14:textId="5D46660F" w:rsidR="00A87A7A" w:rsidRPr="001E2C3C" w:rsidRDefault="00A87A7A" w:rsidP="001E2C3C">
      <w:pPr>
        <w:pStyle w:val="Heading3"/>
        <w:rPr>
          <w:rFonts w:eastAsia="Times New Roman"/>
          <w:b/>
          <w:bCs/>
          <w:color w:val="auto"/>
          <w:lang w:eastAsia="en-GB"/>
        </w:rPr>
      </w:pPr>
      <w:r w:rsidRPr="001E2C3C">
        <w:rPr>
          <w:rFonts w:eastAsia="Times New Roman"/>
          <w:b/>
          <w:bCs/>
          <w:color w:val="auto"/>
          <w:lang w:eastAsia="en-GB"/>
        </w:rPr>
        <w:t>Figure 9: House Sales in Braes &amp; Rural South by Area of Origin 2014-2017</w:t>
      </w:r>
    </w:p>
    <w:p w14:paraId="609A2652" w14:textId="77777777" w:rsidR="00A87A7A" w:rsidRDefault="00A87A7A" w:rsidP="00A87A7A">
      <w:pPr>
        <w:rPr>
          <w:rFonts w:cstheme="minorHAnsi"/>
        </w:rPr>
      </w:pPr>
      <w:r>
        <w:rPr>
          <w:rFonts w:cstheme="minorHAnsi"/>
          <w:noProof/>
        </w:rPr>
        <w:drawing>
          <wp:inline distT="0" distB="0" distL="0" distR="0" wp14:anchorId="17E3C787" wp14:editId="7B06711D">
            <wp:extent cx="5236845" cy="4371340"/>
            <wp:effectExtent l="0" t="0" r="1905" b="0"/>
            <wp:docPr id="7" name="Picture 7" descr="Figure 9: House Sales in Braes &amp; Rural South by Area of Origin 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9: House Sales in Braes &amp; Rural South by Area of Origin 2014-2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845" cy="4371340"/>
                    </a:xfrm>
                    <a:prstGeom prst="rect">
                      <a:avLst/>
                    </a:prstGeom>
                    <a:noFill/>
                  </pic:spPr>
                </pic:pic>
              </a:graphicData>
            </a:graphic>
          </wp:inline>
        </w:drawing>
      </w:r>
    </w:p>
    <w:p w14:paraId="14BD0B8E" w14:textId="77777777" w:rsidR="00A87A7A" w:rsidRPr="00A35003" w:rsidRDefault="00A87A7A" w:rsidP="00A87A7A">
      <w:pPr>
        <w:rPr>
          <w:rFonts w:cstheme="minorHAnsi"/>
        </w:rPr>
      </w:pPr>
      <w:r w:rsidRPr="00A35003">
        <w:rPr>
          <w:rFonts w:cstheme="minorHAnsi"/>
          <w:sz w:val="18"/>
          <w:szCs w:val="18"/>
        </w:rPr>
        <w:t>Source: Registers of Scotland with further processing by Scottish Government</w:t>
      </w:r>
    </w:p>
    <w:p w14:paraId="3371126A" w14:textId="77777777" w:rsidR="00A87A7A" w:rsidRDefault="00A87A7A" w:rsidP="00A87A7A">
      <w:pPr>
        <w:rPr>
          <w:rFonts w:cstheme="minorHAnsi"/>
        </w:rPr>
      </w:pPr>
      <w:r>
        <w:rPr>
          <w:rFonts w:cstheme="minorHAnsi"/>
        </w:rPr>
        <w:br w:type="page"/>
      </w:r>
    </w:p>
    <w:p w14:paraId="13DC3F75" w14:textId="77777777" w:rsidR="00A87A7A" w:rsidRPr="001E2C3C" w:rsidRDefault="00A87A7A" w:rsidP="00A87A7A">
      <w:pPr>
        <w:pStyle w:val="Heading3"/>
        <w:rPr>
          <w:b/>
          <w:bCs/>
          <w:color w:val="auto"/>
        </w:rPr>
      </w:pPr>
      <w:r w:rsidRPr="001E2C3C">
        <w:rPr>
          <w:b/>
          <w:bCs/>
          <w:color w:val="auto"/>
        </w:rPr>
        <w:lastRenderedPageBreak/>
        <w:t>Stenhousemuir, Larbert &amp; Rural North</w:t>
      </w:r>
    </w:p>
    <w:p w14:paraId="037B21E8" w14:textId="77777777" w:rsidR="00A87A7A" w:rsidRDefault="00A87A7A" w:rsidP="00A87A7A">
      <w:pPr>
        <w:rPr>
          <w:rFonts w:cstheme="minorHAnsi"/>
        </w:rPr>
      </w:pPr>
      <w:r>
        <w:rPr>
          <w:rFonts w:cstheme="minorHAnsi"/>
        </w:rPr>
        <w:t>When looking at sales from within the council area, the self-containment levels in Stenhousemuir, Larbert &amp; Rural North is 62%, which is lower than the 71% found in the last HNDA. Figure 10 looks at the origin of sales in the Stenhousemuir, Larbert &amp; Rural North area and includes those that live within and outwith the Council area. It highlights that 43% of sales are from Stenhousemuir, Larbert &amp; Rural North which is a 2 percentage point increase on analysis undertaken for the last HNDA.</w:t>
      </w:r>
    </w:p>
    <w:p w14:paraId="25D06FD0" w14:textId="77777777" w:rsidR="00A87A7A" w:rsidRDefault="00A87A7A" w:rsidP="00A87A7A">
      <w:pPr>
        <w:rPr>
          <w:rFonts w:cstheme="minorHAnsi"/>
        </w:rPr>
      </w:pPr>
      <w:r>
        <w:rPr>
          <w:rFonts w:cstheme="minorHAnsi"/>
        </w:rPr>
        <w:t xml:space="preserve">There are also a number of sales at 18% from Falkirk which is a 2 percentage point decrease on the previous HNDA. </w:t>
      </w:r>
      <w:r w:rsidRPr="00765974">
        <w:rPr>
          <w:rFonts w:eastAsia="Times New Roman" w:cstheme="minorHAnsi"/>
          <w:lang w:eastAsia="en-GB"/>
        </w:rPr>
        <w:t xml:space="preserve">This compares to sales from other housing market areas which range from </w:t>
      </w:r>
      <w:r>
        <w:rPr>
          <w:rFonts w:eastAsia="Times New Roman" w:cstheme="minorHAnsi"/>
          <w:lang w:eastAsia="en-GB"/>
        </w:rPr>
        <w:t>1</w:t>
      </w:r>
      <w:r w:rsidRPr="00765974">
        <w:rPr>
          <w:rFonts w:eastAsia="Times New Roman" w:cstheme="minorHAnsi"/>
          <w:lang w:eastAsia="en-GB"/>
        </w:rPr>
        <w:t>%-</w:t>
      </w:r>
      <w:r>
        <w:rPr>
          <w:rFonts w:eastAsia="Times New Roman" w:cstheme="minorHAnsi"/>
          <w:lang w:eastAsia="en-GB"/>
        </w:rPr>
        <w:t>6</w:t>
      </w:r>
      <w:r w:rsidRPr="00765974">
        <w:rPr>
          <w:rFonts w:eastAsia="Times New Roman" w:cstheme="minorHAnsi"/>
          <w:lang w:eastAsia="en-GB"/>
        </w:rPr>
        <w:t>%.</w:t>
      </w:r>
      <w:r>
        <w:rPr>
          <w:rFonts w:cstheme="minorHAnsi"/>
        </w:rPr>
        <w:t xml:space="preserve"> In terms of neighbouring local authorities, the highest number of sales were from Stirling at 5% and the rest of Scotland at 11%. This is a 1 percentage point decrease on the last HNDA.</w:t>
      </w:r>
    </w:p>
    <w:p w14:paraId="654A2669" w14:textId="70C63AE8" w:rsidR="00A87A7A" w:rsidRPr="001E2C3C" w:rsidRDefault="00A87A7A" w:rsidP="001E2C3C">
      <w:pPr>
        <w:pStyle w:val="Heading4"/>
        <w:rPr>
          <w:rFonts w:eastAsia="Times New Roman"/>
          <w:b/>
          <w:bCs/>
          <w:i w:val="0"/>
          <w:iCs w:val="0"/>
          <w:color w:val="auto"/>
          <w:lang w:eastAsia="en-GB"/>
        </w:rPr>
      </w:pPr>
      <w:r w:rsidRPr="001E2C3C">
        <w:rPr>
          <w:rFonts w:eastAsia="Times New Roman"/>
          <w:b/>
          <w:bCs/>
          <w:i w:val="0"/>
          <w:iCs w:val="0"/>
          <w:color w:val="auto"/>
          <w:lang w:eastAsia="en-GB"/>
        </w:rPr>
        <w:t>Figure 10: House Sales in Stenhousemuir, Larbert &amp; Rural North by Area of Origin 2014-2017</w:t>
      </w:r>
    </w:p>
    <w:p w14:paraId="68B06601" w14:textId="77777777" w:rsidR="00A87A7A" w:rsidRDefault="00A87A7A" w:rsidP="00A87A7A">
      <w:pPr>
        <w:rPr>
          <w:rFonts w:cstheme="minorHAnsi"/>
        </w:rPr>
      </w:pPr>
      <w:r>
        <w:rPr>
          <w:rFonts w:cstheme="minorHAnsi"/>
          <w:noProof/>
        </w:rPr>
        <w:drawing>
          <wp:inline distT="0" distB="0" distL="0" distR="0" wp14:anchorId="40CE16BA" wp14:editId="45139C00">
            <wp:extent cx="5133340" cy="3877310"/>
            <wp:effectExtent l="0" t="0" r="0" b="8890"/>
            <wp:docPr id="8" name="Picture 8" descr="Figure 10: House Sales in Stenhousemuir, Larbert &amp; Rural North by Area of Origin 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0: House Sales in Stenhousemuir, Larbert &amp; Rural North by Area of Origin 2014-20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340" cy="3877310"/>
                    </a:xfrm>
                    <a:prstGeom prst="rect">
                      <a:avLst/>
                    </a:prstGeom>
                    <a:noFill/>
                  </pic:spPr>
                </pic:pic>
              </a:graphicData>
            </a:graphic>
          </wp:inline>
        </w:drawing>
      </w:r>
    </w:p>
    <w:p w14:paraId="524628BA" w14:textId="77777777" w:rsidR="00A87A7A" w:rsidRPr="00A35003" w:rsidRDefault="00A87A7A" w:rsidP="00A87A7A">
      <w:pPr>
        <w:rPr>
          <w:rFonts w:cstheme="minorHAnsi"/>
        </w:rPr>
      </w:pPr>
      <w:r w:rsidRPr="00A35003">
        <w:rPr>
          <w:rFonts w:cstheme="minorHAnsi"/>
          <w:sz w:val="18"/>
          <w:szCs w:val="18"/>
        </w:rPr>
        <w:t>Source: Registers of Scotland with further processing by Scottish Government</w:t>
      </w:r>
    </w:p>
    <w:p w14:paraId="689544C7" w14:textId="77777777" w:rsidR="00A87A7A" w:rsidRDefault="00A87A7A" w:rsidP="00A87A7A">
      <w:pPr>
        <w:rPr>
          <w:rFonts w:cstheme="minorHAnsi"/>
        </w:rPr>
      </w:pPr>
    </w:p>
    <w:p w14:paraId="417C84FF" w14:textId="77777777" w:rsidR="00A87A7A" w:rsidRDefault="00A87A7A" w:rsidP="00A87A7A">
      <w:pPr>
        <w:rPr>
          <w:rFonts w:cstheme="minorHAnsi"/>
        </w:rPr>
      </w:pPr>
      <w:r>
        <w:rPr>
          <w:rFonts w:cstheme="minorHAnsi"/>
        </w:rPr>
        <w:br w:type="page"/>
      </w:r>
    </w:p>
    <w:p w14:paraId="61070A65" w14:textId="77777777" w:rsidR="00A87A7A" w:rsidRPr="00A87A7A" w:rsidRDefault="00A87A7A" w:rsidP="00A87A7A">
      <w:pPr>
        <w:pStyle w:val="Heading3"/>
      </w:pPr>
    </w:p>
    <w:p w14:paraId="6626A3C6" w14:textId="77777777" w:rsidR="00A87A7A" w:rsidRPr="001E2C3C" w:rsidRDefault="00A87A7A" w:rsidP="00A87A7A">
      <w:pPr>
        <w:pStyle w:val="Heading3"/>
        <w:rPr>
          <w:b/>
          <w:bCs/>
          <w:color w:val="auto"/>
        </w:rPr>
      </w:pPr>
      <w:r w:rsidRPr="001E2C3C">
        <w:rPr>
          <w:b/>
          <w:bCs/>
          <w:color w:val="auto"/>
        </w:rPr>
        <w:t>House Sales in Neighbouring Local Authorities to Buyers from Falkirk Council</w:t>
      </w:r>
    </w:p>
    <w:p w14:paraId="7365D006" w14:textId="77777777" w:rsidR="00A87A7A" w:rsidRPr="00E6641F" w:rsidRDefault="00A87A7A" w:rsidP="00A87A7A">
      <w:pPr>
        <w:rPr>
          <w:rFonts w:cstheme="minorHAnsi"/>
        </w:rPr>
      </w:pPr>
      <w:r w:rsidRPr="00E6641F">
        <w:rPr>
          <w:rFonts w:cstheme="minorHAnsi"/>
        </w:rPr>
        <w:t>This section looks at sales in other neighbouring local authorities to buyers from the Falkirk Council area. The Sasines data was cleansed prior to the analysis to remove errors so that only those categorised as person to person and company new build were included. Only sales over £25,000 and under £1,000,000 were included (apart from Edinburgh where sales under £2,000,000 were considered). Any entry which did not have an origin was also excluded as this made it impossible to determine where the origin of the move was.</w:t>
      </w:r>
    </w:p>
    <w:p w14:paraId="30691F58" w14:textId="77777777" w:rsidR="00A87A7A" w:rsidRPr="001E2C3C" w:rsidRDefault="00A87A7A" w:rsidP="00A87A7A">
      <w:pPr>
        <w:pStyle w:val="Heading3"/>
        <w:rPr>
          <w:b/>
          <w:bCs/>
          <w:color w:val="auto"/>
        </w:rPr>
      </w:pPr>
      <w:r w:rsidRPr="001E2C3C">
        <w:rPr>
          <w:b/>
          <w:bCs/>
          <w:color w:val="auto"/>
        </w:rPr>
        <w:t>West Lothian Council</w:t>
      </w:r>
    </w:p>
    <w:p w14:paraId="4BE4446A" w14:textId="17E61835" w:rsidR="00A87A7A" w:rsidRDefault="00A87A7A" w:rsidP="00A87A7A">
      <w:pPr>
        <w:rPr>
          <w:rFonts w:cstheme="minorHAnsi"/>
        </w:rPr>
      </w:pPr>
      <w:r w:rsidRPr="007A5EB5">
        <w:rPr>
          <w:rFonts w:cstheme="minorHAnsi"/>
        </w:rPr>
        <w:t xml:space="preserve">There </w:t>
      </w:r>
      <w:r w:rsidR="00AE7CD6" w:rsidRPr="007A5EB5">
        <w:rPr>
          <w:rFonts w:cstheme="minorHAnsi"/>
        </w:rPr>
        <w:t>was</w:t>
      </w:r>
      <w:r w:rsidRPr="007A5EB5">
        <w:rPr>
          <w:rFonts w:cstheme="minorHAnsi"/>
        </w:rPr>
        <w:t xml:space="preserve"> a total of 10,847 sales made in West Lothian between 2014 and 2017</w:t>
      </w:r>
      <w:r>
        <w:rPr>
          <w:rFonts w:cstheme="minorHAnsi"/>
        </w:rPr>
        <w:t>. A total of 2.06% of sales came from the Falkirk area which is just about the same as when analysis was undertaken for the last HNDA. When looking at the sales with a Falkirk Council origin, the majority of sales came from the Bo’ness area at 41% and then Braes &amp; Rural South at 26%.</w:t>
      </w:r>
    </w:p>
    <w:p w14:paraId="0F21815C" w14:textId="77777777" w:rsidR="00A87A7A" w:rsidRPr="001E2C3C" w:rsidRDefault="00A87A7A" w:rsidP="00A87A7A">
      <w:pPr>
        <w:pStyle w:val="Heading4"/>
        <w:rPr>
          <w:b/>
          <w:bCs/>
          <w:i w:val="0"/>
          <w:iCs w:val="0"/>
          <w:color w:val="auto"/>
        </w:rPr>
      </w:pPr>
      <w:r w:rsidRPr="001E2C3C">
        <w:rPr>
          <w:b/>
          <w:bCs/>
          <w:i w:val="0"/>
          <w:iCs w:val="0"/>
          <w:color w:val="auto"/>
        </w:rPr>
        <w:t>Table 3: House Sales in West Lothian originating from Falkirk 2014-2017</w:t>
      </w:r>
    </w:p>
    <w:tbl>
      <w:tblPr>
        <w:tblStyle w:val="TableGrid"/>
        <w:tblW w:w="0" w:type="auto"/>
        <w:tblLook w:val="04A0" w:firstRow="1" w:lastRow="0" w:firstColumn="1" w:lastColumn="0" w:noHBand="0" w:noVBand="1"/>
      </w:tblPr>
      <w:tblGrid>
        <w:gridCol w:w="4390"/>
        <w:gridCol w:w="992"/>
        <w:gridCol w:w="1701"/>
        <w:gridCol w:w="1701"/>
      </w:tblGrid>
      <w:tr w:rsidR="00387E87" w14:paraId="113197BE" w14:textId="77777777" w:rsidTr="001E2C3C">
        <w:tc>
          <w:tcPr>
            <w:tcW w:w="4390" w:type="dxa"/>
          </w:tcPr>
          <w:p w14:paraId="4F5AABC2" w14:textId="0CFA7591" w:rsidR="00387E87" w:rsidRDefault="00387E87" w:rsidP="00A87A7A">
            <w:pPr>
              <w:rPr>
                <w:rFonts w:cstheme="minorHAnsi"/>
                <w:b/>
                <w:bCs/>
              </w:rPr>
            </w:pPr>
            <w:r>
              <w:rPr>
                <w:rFonts w:cstheme="minorHAnsi"/>
                <w:b/>
                <w:bCs/>
              </w:rPr>
              <w:t>Housing Market Area</w:t>
            </w:r>
          </w:p>
        </w:tc>
        <w:tc>
          <w:tcPr>
            <w:tcW w:w="992" w:type="dxa"/>
          </w:tcPr>
          <w:p w14:paraId="647C0F96" w14:textId="78D3CFA4" w:rsidR="00387E87" w:rsidRDefault="00387E87" w:rsidP="001E2C3C">
            <w:pPr>
              <w:jc w:val="center"/>
              <w:rPr>
                <w:rFonts w:cstheme="minorHAnsi"/>
                <w:b/>
                <w:bCs/>
              </w:rPr>
            </w:pPr>
            <w:r>
              <w:rPr>
                <w:rFonts w:cstheme="minorHAnsi"/>
                <w:b/>
                <w:bCs/>
              </w:rPr>
              <w:t>2014-</w:t>
            </w:r>
            <w:r w:rsidR="001E2C3C">
              <w:rPr>
                <w:rFonts w:cstheme="minorHAnsi"/>
                <w:b/>
                <w:bCs/>
              </w:rPr>
              <w:t>20</w:t>
            </w:r>
            <w:r>
              <w:rPr>
                <w:rFonts w:cstheme="minorHAnsi"/>
                <w:b/>
                <w:bCs/>
              </w:rPr>
              <w:t>17</w:t>
            </w:r>
          </w:p>
        </w:tc>
        <w:tc>
          <w:tcPr>
            <w:tcW w:w="1701" w:type="dxa"/>
          </w:tcPr>
          <w:p w14:paraId="066ECCBB" w14:textId="5F1E546B" w:rsidR="00387E87" w:rsidRDefault="00387E87" w:rsidP="001E2C3C">
            <w:pPr>
              <w:jc w:val="center"/>
              <w:rPr>
                <w:rFonts w:cstheme="minorHAnsi"/>
                <w:b/>
                <w:bCs/>
              </w:rPr>
            </w:pPr>
            <w:r w:rsidRPr="00FB1B89">
              <w:rPr>
                <w:rFonts w:eastAsia="Times New Roman" w:cstheme="minorHAnsi"/>
                <w:b/>
                <w:bCs/>
                <w:color w:val="000000"/>
                <w:lang w:eastAsia="en-GB"/>
              </w:rPr>
              <w:t>% of all sales from Falkirk</w:t>
            </w:r>
          </w:p>
        </w:tc>
        <w:tc>
          <w:tcPr>
            <w:tcW w:w="1701" w:type="dxa"/>
          </w:tcPr>
          <w:p w14:paraId="63B0D03D" w14:textId="1725841F" w:rsidR="00387E87" w:rsidRDefault="00387E87" w:rsidP="001E2C3C">
            <w:pPr>
              <w:jc w:val="center"/>
              <w:rPr>
                <w:rFonts w:cstheme="minorHAnsi"/>
                <w:b/>
                <w:bCs/>
              </w:rPr>
            </w:pPr>
            <w:r w:rsidRPr="00FB1B89">
              <w:rPr>
                <w:rFonts w:eastAsia="Times New Roman" w:cstheme="minorHAnsi"/>
                <w:b/>
                <w:bCs/>
                <w:color w:val="000000"/>
                <w:lang w:eastAsia="en-GB"/>
              </w:rPr>
              <w:t>% of all sales in West Lothian</w:t>
            </w:r>
          </w:p>
        </w:tc>
      </w:tr>
      <w:tr w:rsidR="00387E87" w14:paraId="747264D7" w14:textId="77777777" w:rsidTr="001E2C3C">
        <w:tc>
          <w:tcPr>
            <w:tcW w:w="4390" w:type="dxa"/>
            <w:vAlign w:val="bottom"/>
          </w:tcPr>
          <w:p w14:paraId="369716DC" w14:textId="31594462" w:rsidR="00387E87" w:rsidRDefault="00387E87" w:rsidP="00387E87">
            <w:pPr>
              <w:rPr>
                <w:rFonts w:cstheme="minorHAnsi"/>
                <w:b/>
                <w:bCs/>
              </w:rPr>
            </w:pPr>
            <w:r w:rsidRPr="00FB1B89">
              <w:rPr>
                <w:rFonts w:eastAsia="Times New Roman" w:cstheme="minorHAnsi"/>
                <w:color w:val="000000"/>
                <w:lang w:eastAsia="en-GB"/>
              </w:rPr>
              <w:t>Bo'ness</w:t>
            </w:r>
          </w:p>
        </w:tc>
        <w:tc>
          <w:tcPr>
            <w:tcW w:w="992" w:type="dxa"/>
            <w:vAlign w:val="bottom"/>
          </w:tcPr>
          <w:p w14:paraId="5D54D0A9" w14:textId="48A1264A" w:rsidR="00387E87" w:rsidRDefault="00387E87" w:rsidP="001E2C3C">
            <w:pPr>
              <w:jc w:val="center"/>
              <w:rPr>
                <w:rFonts w:cstheme="minorHAnsi"/>
                <w:b/>
                <w:bCs/>
              </w:rPr>
            </w:pPr>
            <w:r>
              <w:rPr>
                <w:rFonts w:ascii="Calibri" w:hAnsi="Calibri" w:cs="Calibri"/>
                <w:color w:val="000000"/>
              </w:rPr>
              <w:t>92</w:t>
            </w:r>
          </w:p>
        </w:tc>
        <w:tc>
          <w:tcPr>
            <w:tcW w:w="1701" w:type="dxa"/>
            <w:vAlign w:val="bottom"/>
          </w:tcPr>
          <w:p w14:paraId="19D5BBF6" w14:textId="6946B1AF" w:rsidR="00387E87" w:rsidRDefault="00387E87" w:rsidP="001E2C3C">
            <w:pPr>
              <w:jc w:val="center"/>
              <w:rPr>
                <w:rFonts w:cstheme="minorHAnsi"/>
                <w:b/>
                <w:bCs/>
              </w:rPr>
            </w:pPr>
            <w:r>
              <w:rPr>
                <w:rFonts w:ascii="Calibri" w:hAnsi="Calibri" w:cs="Calibri"/>
                <w:color w:val="000000"/>
              </w:rPr>
              <w:t>41%</w:t>
            </w:r>
          </w:p>
        </w:tc>
        <w:tc>
          <w:tcPr>
            <w:tcW w:w="1701" w:type="dxa"/>
            <w:vAlign w:val="bottom"/>
          </w:tcPr>
          <w:p w14:paraId="37989AAB" w14:textId="581B6761" w:rsidR="00387E87" w:rsidRDefault="00387E87" w:rsidP="001E2C3C">
            <w:pPr>
              <w:jc w:val="center"/>
              <w:rPr>
                <w:rFonts w:cstheme="minorHAnsi"/>
                <w:b/>
                <w:bCs/>
              </w:rPr>
            </w:pPr>
            <w:r>
              <w:rPr>
                <w:rFonts w:ascii="Calibri" w:hAnsi="Calibri" w:cs="Calibri"/>
                <w:color w:val="000000"/>
              </w:rPr>
              <w:t>0.85%</w:t>
            </w:r>
          </w:p>
        </w:tc>
      </w:tr>
      <w:tr w:rsidR="00387E87" w14:paraId="2F200BD7" w14:textId="77777777" w:rsidTr="001E2C3C">
        <w:tc>
          <w:tcPr>
            <w:tcW w:w="4390" w:type="dxa"/>
            <w:vAlign w:val="bottom"/>
          </w:tcPr>
          <w:p w14:paraId="63937A53" w14:textId="2E59E827" w:rsidR="00387E87" w:rsidRDefault="00387E87" w:rsidP="00387E87">
            <w:pPr>
              <w:rPr>
                <w:rFonts w:cstheme="minorHAnsi"/>
                <w:b/>
                <w:bCs/>
              </w:rPr>
            </w:pPr>
            <w:r w:rsidRPr="00FB1B89">
              <w:rPr>
                <w:rFonts w:eastAsia="Times New Roman" w:cstheme="minorHAnsi"/>
                <w:color w:val="000000"/>
                <w:lang w:eastAsia="en-GB"/>
              </w:rPr>
              <w:t>Denny &amp; Bonnybridge</w:t>
            </w:r>
          </w:p>
        </w:tc>
        <w:tc>
          <w:tcPr>
            <w:tcW w:w="992" w:type="dxa"/>
            <w:vAlign w:val="bottom"/>
          </w:tcPr>
          <w:p w14:paraId="2BC8A37C" w14:textId="4A2BF9EF" w:rsidR="00387E87" w:rsidRDefault="00387E87" w:rsidP="001E2C3C">
            <w:pPr>
              <w:jc w:val="center"/>
              <w:rPr>
                <w:rFonts w:cstheme="minorHAnsi"/>
                <w:b/>
                <w:bCs/>
              </w:rPr>
            </w:pPr>
            <w:r>
              <w:rPr>
                <w:rFonts w:ascii="Calibri" w:hAnsi="Calibri" w:cs="Calibri"/>
                <w:color w:val="000000"/>
              </w:rPr>
              <w:t>8</w:t>
            </w:r>
          </w:p>
        </w:tc>
        <w:tc>
          <w:tcPr>
            <w:tcW w:w="1701" w:type="dxa"/>
            <w:vAlign w:val="bottom"/>
          </w:tcPr>
          <w:p w14:paraId="4B34A403" w14:textId="14201088" w:rsidR="00387E87" w:rsidRDefault="00387E87" w:rsidP="001E2C3C">
            <w:pPr>
              <w:jc w:val="center"/>
              <w:rPr>
                <w:rFonts w:cstheme="minorHAnsi"/>
                <w:b/>
                <w:bCs/>
              </w:rPr>
            </w:pPr>
            <w:r>
              <w:rPr>
                <w:rFonts w:ascii="Calibri" w:hAnsi="Calibri" w:cs="Calibri"/>
                <w:color w:val="000000"/>
              </w:rPr>
              <w:t>4%</w:t>
            </w:r>
          </w:p>
        </w:tc>
        <w:tc>
          <w:tcPr>
            <w:tcW w:w="1701" w:type="dxa"/>
            <w:vAlign w:val="bottom"/>
          </w:tcPr>
          <w:p w14:paraId="3D84EA5F" w14:textId="2D26E88E" w:rsidR="00387E87" w:rsidRDefault="00387E87" w:rsidP="001E2C3C">
            <w:pPr>
              <w:jc w:val="center"/>
              <w:rPr>
                <w:rFonts w:cstheme="minorHAnsi"/>
                <w:b/>
                <w:bCs/>
              </w:rPr>
            </w:pPr>
            <w:r>
              <w:rPr>
                <w:rFonts w:ascii="Calibri" w:hAnsi="Calibri" w:cs="Calibri"/>
                <w:color w:val="000000"/>
              </w:rPr>
              <w:t>0.07%</w:t>
            </w:r>
          </w:p>
        </w:tc>
      </w:tr>
      <w:tr w:rsidR="00387E87" w14:paraId="18F7C6E2" w14:textId="77777777" w:rsidTr="001E2C3C">
        <w:tc>
          <w:tcPr>
            <w:tcW w:w="4390" w:type="dxa"/>
            <w:vAlign w:val="bottom"/>
          </w:tcPr>
          <w:p w14:paraId="7B72FBF6" w14:textId="48B45D70" w:rsidR="00387E87" w:rsidRDefault="00387E87" w:rsidP="00387E87">
            <w:pPr>
              <w:rPr>
                <w:rFonts w:cstheme="minorHAnsi"/>
                <w:b/>
                <w:bCs/>
              </w:rPr>
            </w:pPr>
            <w:r w:rsidRPr="00FB1B89">
              <w:rPr>
                <w:rFonts w:eastAsia="Times New Roman" w:cstheme="minorHAnsi"/>
                <w:color w:val="000000"/>
                <w:lang w:eastAsia="en-GB"/>
              </w:rPr>
              <w:t>Falkirk</w:t>
            </w:r>
          </w:p>
        </w:tc>
        <w:tc>
          <w:tcPr>
            <w:tcW w:w="992" w:type="dxa"/>
            <w:vAlign w:val="bottom"/>
          </w:tcPr>
          <w:p w14:paraId="053909CD" w14:textId="4A7160F6" w:rsidR="00387E87" w:rsidRDefault="00387E87" w:rsidP="001E2C3C">
            <w:pPr>
              <w:jc w:val="center"/>
              <w:rPr>
                <w:rFonts w:cstheme="minorHAnsi"/>
                <w:b/>
                <w:bCs/>
              </w:rPr>
            </w:pPr>
            <w:r>
              <w:rPr>
                <w:rFonts w:ascii="Calibri" w:hAnsi="Calibri" w:cs="Calibri"/>
                <w:color w:val="000000"/>
              </w:rPr>
              <w:t>43</w:t>
            </w:r>
          </w:p>
        </w:tc>
        <w:tc>
          <w:tcPr>
            <w:tcW w:w="1701" w:type="dxa"/>
            <w:vAlign w:val="bottom"/>
          </w:tcPr>
          <w:p w14:paraId="7839B3A5" w14:textId="7AA19DF2" w:rsidR="00387E87" w:rsidRDefault="00387E87" w:rsidP="001E2C3C">
            <w:pPr>
              <w:jc w:val="center"/>
              <w:rPr>
                <w:rFonts w:cstheme="minorHAnsi"/>
                <w:b/>
                <w:bCs/>
              </w:rPr>
            </w:pPr>
            <w:r>
              <w:rPr>
                <w:rFonts w:ascii="Calibri" w:hAnsi="Calibri" w:cs="Calibri"/>
                <w:color w:val="000000"/>
              </w:rPr>
              <w:t>19%</w:t>
            </w:r>
          </w:p>
        </w:tc>
        <w:tc>
          <w:tcPr>
            <w:tcW w:w="1701" w:type="dxa"/>
            <w:vAlign w:val="bottom"/>
          </w:tcPr>
          <w:p w14:paraId="58ADA74B" w14:textId="2535524A" w:rsidR="00387E87" w:rsidRDefault="00387E87" w:rsidP="001E2C3C">
            <w:pPr>
              <w:jc w:val="center"/>
              <w:rPr>
                <w:rFonts w:cstheme="minorHAnsi"/>
                <w:b/>
                <w:bCs/>
              </w:rPr>
            </w:pPr>
            <w:r>
              <w:rPr>
                <w:rFonts w:ascii="Calibri" w:hAnsi="Calibri" w:cs="Calibri"/>
                <w:color w:val="000000"/>
              </w:rPr>
              <w:t>0.40%</w:t>
            </w:r>
          </w:p>
        </w:tc>
      </w:tr>
      <w:tr w:rsidR="00387E87" w14:paraId="760DEF46" w14:textId="77777777" w:rsidTr="001E2C3C">
        <w:tc>
          <w:tcPr>
            <w:tcW w:w="4390" w:type="dxa"/>
            <w:vAlign w:val="bottom"/>
          </w:tcPr>
          <w:p w14:paraId="74958F62" w14:textId="09A2A0A7" w:rsidR="00387E87" w:rsidRDefault="00387E87" w:rsidP="00387E87">
            <w:pPr>
              <w:rPr>
                <w:rFonts w:cstheme="minorHAnsi"/>
                <w:b/>
                <w:bCs/>
              </w:rPr>
            </w:pPr>
            <w:r w:rsidRPr="00FB1B89">
              <w:rPr>
                <w:rFonts w:eastAsia="Times New Roman" w:cstheme="minorHAnsi"/>
                <w:color w:val="000000"/>
                <w:lang w:eastAsia="en-GB"/>
              </w:rPr>
              <w:t>Grangemouth</w:t>
            </w:r>
          </w:p>
        </w:tc>
        <w:tc>
          <w:tcPr>
            <w:tcW w:w="992" w:type="dxa"/>
            <w:vAlign w:val="bottom"/>
          </w:tcPr>
          <w:p w14:paraId="28AAA727" w14:textId="3EF9C9E2" w:rsidR="00387E87" w:rsidRDefault="00387E87" w:rsidP="001E2C3C">
            <w:pPr>
              <w:jc w:val="center"/>
              <w:rPr>
                <w:rFonts w:cstheme="minorHAnsi"/>
                <w:b/>
                <w:bCs/>
              </w:rPr>
            </w:pPr>
            <w:r>
              <w:rPr>
                <w:rFonts w:ascii="Calibri" w:hAnsi="Calibri" w:cs="Calibri"/>
                <w:color w:val="000000"/>
              </w:rPr>
              <w:t>9</w:t>
            </w:r>
          </w:p>
        </w:tc>
        <w:tc>
          <w:tcPr>
            <w:tcW w:w="1701" w:type="dxa"/>
            <w:vAlign w:val="bottom"/>
          </w:tcPr>
          <w:p w14:paraId="35DB4315" w14:textId="0FC2CB2E" w:rsidR="00387E87" w:rsidRDefault="00387E87" w:rsidP="001E2C3C">
            <w:pPr>
              <w:jc w:val="center"/>
              <w:rPr>
                <w:rFonts w:cstheme="minorHAnsi"/>
                <w:b/>
                <w:bCs/>
              </w:rPr>
            </w:pPr>
            <w:r>
              <w:rPr>
                <w:rFonts w:ascii="Calibri" w:hAnsi="Calibri" w:cs="Calibri"/>
                <w:color w:val="000000"/>
              </w:rPr>
              <w:t>4%</w:t>
            </w:r>
          </w:p>
        </w:tc>
        <w:tc>
          <w:tcPr>
            <w:tcW w:w="1701" w:type="dxa"/>
            <w:vAlign w:val="bottom"/>
          </w:tcPr>
          <w:p w14:paraId="37A95425" w14:textId="3EF962A7" w:rsidR="00387E87" w:rsidRDefault="00387E87" w:rsidP="001E2C3C">
            <w:pPr>
              <w:jc w:val="center"/>
              <w:rPr>
                <w:rFonts w:cstheme="minorHAnsi"/>
                <w:b/>
                <w:bCs/>
              </w:rPr>
            </w:pPr>
            <w:r>
              <w:rPr>
                <w:rFonts w:ascii="Calibri" w:hAnsi="Calibri" w:cs="Calibri"/>
                <w:color w:val="000000"/>
              </w:rPr>
              <w:t>0.08%</w:t>
            </w:r>
          </w:p>
        </w:tc>
      </w:tr>
      <w:tr w:rsidR="00387E87" w14:paraId="09E9B110" w14:textId="77777777" w:rsidTr="001E2C3C">
        <w:tc>
          <w:tcPr>
            <w:tcW w:w="4390" w:type="dxa"/>
            <w:vAlign w:val="bottom"/>
          </w:tcPr>
          <w:p w14:paraId="001ED04D" w14:textId="653A5820" w:rsidR="00387E87" w:rsidRPr="00FB1B89" w:rsidRDefault="00387E87" w:rsidP="00387E87">
            <w:pPr>
              <w:rPr>
                <w:rFonts w:eastAsia="Times New Roman" w:cstheme="minorHAnsi"/>
                <w:color w:val="000000"/>
                <w:lang w:eastAsia="en-GB"/>
              </w:rPr>
            </w:pPr>
            <w:r>
              <w:rPr>
                <w:rFonts w:eastAsia="Times New Roman" w:cstheme="minorHAnsi"/>
                <w:color w:val="000000"/>
                <w:lang w:eastAsia="en-GB"/>
              </w:rPr>
              <w:t>Braes</w:t>
            </w:r>
            <w:r w:rsidRPr="00FB1B89">
              <w:rPr>
                <w:rFonts w:eastAsia="Times New Roman" w:cstheme="minorHAnsi"/>
                <w:color w:val="000000"/>
                <w:lang w:eastAsia="en-GB"/>
              </w:rPr>
              <w:t xml:space="preserve"> &amp; Rural South</w:t>
            </w:r>
          </w:p>
        </w:tc>
        <w:tc>
          <w:tcPr>
            <w:tcW w:w="992" w:type="dxa"/>
            <w:vAlign w:val="bottom"/>
          </w:tcPr>
          <w:p w14:paraId="3929CE93" w14:textId="0A53AF00" w:rsidR="00387E87" w:rsidRDefault="00387E87" w:rsidP="001E2C3C">
            <w:pPr>
              <w:jc w:val="center"/>
              <w:rPr>
                <w:rFonts w:ascii="Calibri" w:hAnsi="Calibri" w:cs="Calibri"/>
                <w:color w:val="000000"/>
              </w:rPr>
            </w:pPr>
            <w:r>
              <w:rPr>
                <w:rFonts w:ascii="Calibri" w:hAnsi="Calibri" w:cs="Calibri"/>
                <w:color w:val="000000"/>
              </w:rPr>
              <w:t>57</w:t>
            </w:r>
          </w:p>
        </w:tc>
        <w:tc>
          <w:tcPr>
            <w:tcW w:w="1701" w:type="dxa"/>
            <w:vAlign w:val="bottom"/>
          </w:tcPr>
          <w:p w14:paraId="13E6A484" w14:textId="476D51A4" w:rsidR="00387E87" w:rsidRDefault="00387E87" w:rsidP="001E2C3C">
            <w:pPr>
              <w:jc w:val="center"/>
              <w:rPr>
                <w:rFonts w:ascii="Calibri" w:hAnsi="Calibri" w:cs="Calibri"/>
                <w:color w:val="000000"/>
              </w:rPr>
            </w:pPr>
            <w:r>
              <w:rPr>
                <w:rFonts w:ascii="Calibri" w:hAnsi="Calibri" w:cs="Calibri"/>
                <w:color w:val="000000"/>
              </w:rPr>
              <w:t>26%</w:t>
            </w:r>
          </w:p>
        </w:tc>
        <w:tc>
          <w:tcPr>
            <w:tcW w:w="1701" w:type="dxa"/>
            <w:vAlign w:val="bottom"/>
          </w:tcPr>
          <w:p w14:paraId="124205EB" w14:textId="47E1D4B9" w:rsidR="00387E87" w:rsidRDefault="00387E87" w:rsidP="001E2C3C">
            <w:pPr>
              <w:jc w:val="center"/>
              <w:rPr>
                <w:rFonts w:ascii="Calibri" w:hAnsi="Calibri" w:cs="Calibri"/>
                <w:color w:val="000000"/>
              </w:rPr>
            </w:pPr>
            <w:r>
              <w:rPr>
                <w:rFonts w:ascii="Calibri" w:hAnsi="Calibri" w:cs="Calibri"/>
                <w:color w:val="000000"/>
              </w:rPr>
              <w:t>0.53%</w:t>
            </w:r>
          </w:p>
        </w:tc>
      </w:tr>
      <w:tr w:rsidR="00387E87" w14:paraId="41ADCECB" w14:textId="77777777" w:rsidTr="001E2C3C">
        <w:tc>
          <w:tcPr>
            <w:tcW w:w="4390" w:type="dxa"/>
            <w:vAlign w:val="bottom"/>
          </w:tcPr>
          <w:p w14:paraId="6737E12C" w14:textId="43E31C42" w:rsidR="00387E87" w:rsidRDefault="00387E87" w:rsidP="00387E87">
            <w:pPr>
              <w:rPr>
                <w:rFonts w:eastAsia="Times New Roman" w:cstheme="minorHAnsi"/>
                <w:color w:val="000000"/>
                <w:lang w:eastAsia="en-GB"/>
              </w:rPr>
            </w:pPr>
            <w:r w:rsidRPr="00FB1B89">
              <w:rPr>
                <w:rFonts w:eastAsia="Times New Roman" w:cstheme="minorHAnsi"/>
                <w:color w:val="000000"/>
                <w:lang w:eastAsia="en-GB"/>
              </w:rPr>
              <w:t>Stenhousemuir Larbert &amp; Rural North</w:t>
            </w:r>
          </w:p>
        </w:tc>
        <w:tc>
          <w:tcPr>
            <w:tcW w:w="992" w:type="dxa"/>
            <w:vAlign w:val="bottom"/>
          </w:tcPr>
          <w:p w14:paraId="65C640F4" w14:textId="7ABFF9FF" w:rsidR="00387E87" w:rsidRDefault="00387E87" w:rsidP="001E2C3C">
            <w:pPr>
              <w:jc w:val="center"/>
              <w:rPr>
                <w:rFonts w:ascii="Calibri" w:hAnsi="Calibri" w:cs="Calibri"/>
                <w:color w:val="000000"/>
              </w:rPr>
            </w:pPr>
            <w:r>
              <w:rPr>
                <w:rFonts w:ascii="Calibri" w:hAnsi="Calibri" w:cs="Calibri"/>
                <w:color w:val="000000"/>
              </w:rPr>
              <w:t>14</w:t>
            </w:r>
          </w:p>
        </w:tc>
        <w:tc>
          <w:tcPr>
            <w:tcW w:w="1701" w:type="dxa"/>
            <w:vAlign w:val="bottom"/>
          </w:tcPr>
          <w:p w14:paraId="01B6C708" w14:textId="31E6ACAA" w:rsidR="00387E87" w:rsidRDefault="00387E87" w:rsidP="001E2C3C">
            <w:pPr>
              <w:jc w:val="center"/>
              <w:rPr>
                <w:rFonts w:ascii="Calibri" w:hAnsi="Calibri" w:cs="Calibri"/>
                <w:color w:val="000000"/>
              </w:rPr>
            </w:pPr>
            <w:r>
              <w:rPr>
                <w:rFonts w:ascii="Calibri" w:hAnsi="Calibri" w:cs="Calibri"/>
                <w:color w:val="000000"/>
              </w:rPr>
              <w:t>6%</w:t>
            </w:r>
          </w:p>
        </w:tc>
        <w:tc>
          <w:tcPr>
            <w:tcW w:w="1701" w:type="dxa"/>
            <w:vAlign w:val="bottom"/>
          </w:tcPr>
          <w:p w14:paraId="5BFE3115" w14:textId="797AC780" w:rsidR="00387E87" w:rsidRDefault="00387E87" w:rsidP="001E2C3C">
            <w:pPr>
              <w:jc w:val="center"/>
              <w:rPr>
                <w:rFonts w:ascii="Calibri" w:hAnsi="Calibri" w:cs="Calibri"/>
                <w:color w:val="000000"/>
              </w:rPr>
            </w:pPr>
            <w:r>
              <w:rPr>
                <w:rFonts w:ascii="Calibri" w:hAnsi="Calibri" w:cs="Calibri"/>
                <w:color w:val="000000"/>
              </w:rPr>
              <w:t>0.13%</w:t>
            </w:r>
          </w:p>
        </w:tc>
      </w:tr>
      <w:tr w:rsidR="00387E87" w14:paraId="0A256131" w14:textId="77777777" w:rsidTr="001E2C3C">
        <w:tc>
          <w:tcPr>
            <w:tcW w:w="4390" w:type="dxa"/>
            <w:vAlign w:val="bottom"/>
          </w:tcPr>
          <w:p w14:paraId="613B520C" w14:textId="570E5730" w:rsidR="00387E87" w:rsidRPr="00FB1B89" w:rsidRDefault="00387E87" w:rsidP="00387E87">
            <w:pPr>
              <w:rPr>
                <w:rFonts w:eastAsia="Times New Roman" w:cstheme="minorHAnsi"/>
                <w:color w:val="000000"/>
                <w:lang w:eastAsia="en-GB"/>
              </w:rPr>
            </w:pPr>
            <w:r w:rsidRPr="00FB1B89">
              <w:rPr>
                <w:rFonts w:eastAsia="Times New Roman" w:cstheme="minorHAnsi"/>
                <w:b/>
                <w:bCs/>
                <w:color w:val="000000"/>
                <w:lang w:eastAsia="en-GB"/>
              </w:rPr>
              <w:t>Total</w:t>
            </w:r>
          </w:p>
        </w:tc>
        <w:tc>
          <w:tcPr>
            <w:tcW w:w="992" w:type="dxa"/>
            <w:vAlign w:val="bottom"/>
          </w:tcPr>
          <w:p w14:paraId="3BC78C72" w14:textId="5C33A3BA" w:rsidR="00387E87" w:rsidRDefault="00387E87" w:rsidP="001E2C3C">
            <w:pPr>
              <w:jc w:val="center"/>
              <w:rPr>
                <w:rFonts w:ascii="Calibri" w:hAnsi="Calibri" w:cs="Calibri"/>
                <w:color w:val="000000"/>
              </w:rPr>
            </w:pPr>
            <w:r>
              <w:rPr>
                <w:rFonts w:ascii="Calibri" w:hAnsi="Calibri" w:cs="Calibri"/>
                <w:b/>
                <w:bCs/>
                <w:color w:val="000000"/>
              </w:rPr>
              <w:t>223</w:t>
            </w:r>
          </w:p>
        </w:tc>
        <w:tc>
          <w:tcPr>
            <w:tcW w:w="1701" w:type="dxa"/>
            <w:vAlign w:val="bottom"/>
          </w:tcPr>
          <w:p w14:paraId="7163D571" w14:textId="441D07DD" w:rsidR="00387E87" w:rsidRDefault="00387E87" w:rsidP="001E2C3C">
            <w:pPr>
              <w:jc w:val="center"/>
              <w:rPr>
                <w:rFonts w:ascii="Calibri" w:hAnsi="Calibri" w:cs="Calibri"/>
                <w:color w:val="000000"/>
              </w:rPr>
            </w:pPr>
            <w:r>
              <w:rPr>
                <w:rFonts w:ascii="Calibri" w:hAnsi="Calibri" w:cs="Calibri"/>
                <w:b/>
                <w:bCs/>
                <w:color w:val="000000"/>
              </w:rPr>
              <w:t>100%</w:t>
            </w:r>
          </w:p>
        </w:tc>
        <w:tc>
          <w:tcPr>
            <w:tcW w:w="1701" w:type="dxa"/>
            <w:vAlign w:val="bottom"/>
          </w:tcPr>
          <w:p w14:paraId="1E003CB3" w14:textId="28C37557" w:rsidR="00387E87" w:rsidRDefault="00387E87" w:rsidP="001E2C3C">
            <w:pPr>
              <w:jc w:val="center"/>
              <w:rPr>
                <w:rFonts w:ascii="Calibri" w:hAnsi="Calibri" w:cs="Calibri"/>
                <w:color w:val="000000"/>
              </w:rPr>
            </w:pPr>
            <w:r>
              <w:rPr>
                <w:rFonts w:ascii="Calibri" w:hAnsi="Calibri" w:cs="Calibri"/>
                <w:b/>
                <w:bCs/>
                <w:color w:val="000000"/>
              </w:rPr>
              <w:t>2.06%</w:t>
            </w:r>
          </w:p>
        </w:tc>
      </w:tr>
    </w:tbl>
    <w:p w14:paraId="54F57885" w14:textId="558540DC" w:rsidR="00A87A7A" w:rsidRDefault="00A87A7A" w:rsidP="00A87A7A">
      <w:pPr>
        <w:rPr>
          <w:rFonts w:cstheme="minorHAnsi"/>
          <w:sz w:val="18"/>
          <w:szCs w:val="18"/>
        </w:rPr>
      </w:pPr>
      <w:r>
        <w:rPr>
          <w:rFonts w:cstheme="minorHAnsi"/>
        </w:rPr>
        <w:t xml:space="preserve"> </w:t>
      </w:r>
      <w:r w:rsidRPr="00A35003">
        <w:rPr>
          <w:rFonts w:cstheme="minorHAnsi"/>
          <w:sz w:val="18"/>
          <w:szCs w:val="18"/>
        </w:rPr>
        <w:t>Source: Registers of Scotland with further processing by Scottish Government</w:t>
      </w:r>
    </w:p>
    <w:p w14:paraId="3AB99119" w14:textId="77777777" w:rsidR="00387E87" w:rsidRPr="001E2C3C" w:rsidRDefault="00387E87" w:rsidP="00387E87">
      <w:pPr>
        <w:pStyle w:val="Heading3"/>
        <w:rPr>
          <w:b/>
          <w:bCs/>
          <w:color w:val="auto"/>
        </w:rPr>
      </w:pPr>
      <w:r w:rsidRPr="001E2C3C">
        <w:rPr>
          <w:b/>
          <w:bCs/>
          <w:color w:val="auto"/>
        </w:rPr>
        <w:t>City of Edinburgh</w:t>
      </w:r>
    </w:p>
    <w:p w14:paraId="7C002F84" w14:textId="0FD9A728" w:rsidR="00387E87" w:rsidRDefault="00387E87" w:rsidP="00387E87">
      <w:pPr>
        <w:rPr>
          <w:rFonts w:cstheme="minorHAnsi"/>
        </w:rPr>
      </w:pPr>
      <w:r w:rsidRPr="00ED2E28">
        <w:rPr>
          <w:rFonts w:cstheme="minorHAnsi"/>
        </w:rPr>
        <w:t xml:space="preserve">There </w:t>
      </w:r>
      <w:r w:rsidR="00AE7CD6">
        <w:rPr>
          <w:rFonts w:cstheme="minorHAnsi"/>
        </w:rPr>
        <w:t>was</w:t>
      </w:r>
      <w:r>
        <w:rPr>
          <w:rFonts w:cstheme="minorHAnsi"/>
        </w:rPr>
        <w:t xml:space="preserve"> a total of 42,373 sales made in Edinburgh between 2014 and 2017. A total of 0.42% of sales came from the Falkirk area, this is slightly less than the 0.5% when this analysis was undertaken for the last HNDA. When looking at the sales that had  Falkirk Council origin the majority came from Bo’ness (29%), Falkirk (27%) and Braes &amp; Rural South (21%).</w:t>
      </w:r>
    </w:p>
    <w:p w14:paraId="608101F0" w14:textId="325B5C37" w:rsidR="00387E87" w:rsidRPr="001E2C3C" w:rsidRDefault="00387E87" w:rsidP="001E2C3C">
      <w:pPr>
        <w:pStyle w:val="Heading4"/>
        <w:rPr>
          <w:b/>
          <w:bCs/>
          <w:i w:val="0"/>
          <w:iCs w:val="0"/>
          <w:color w:val="auto"/>
        </w:rPr>
      </w:pPr>
      <w:r w:rsidRPr="001E2C3C">
        <w:rPr>
          <w:b/>
          <w:bCs/>
          <w:i w:val="0"/>
          <w:iCs w:val="0"/>
          <w:color w:val="auto"/>
        </w:rPr>
        <w:t>Table 4: House Sales in Edinburgh originating from Falkirk 2014-2017</w:t>
      </w:r>
    </w:p>
    <w:tbl>
      <w:tblPr>
        <w:tblStyle w:val="TableGrid"/>
        <w:tblW w:w="0" w:type="auto"/>
        <w:tblLook w:val="04A0" w:firstRow="1" w:lastRow="0" w:firstColumn="1" w:lastColumn="0" w:noHBand="0" w:noVBand="1"/>
      </w:tblPr>
      <w:tblGrid>
        <w:gridCol w:w="4248"/>
        <w:gridCol w:w="992"/>
        <w:gridCol w:w="1559"/>
        <w:gridCol w:w="1418"/>
      </w:tblGrid>
      <w:tr w:rsidR="00387E87" w14:paraId="1FF5B46A" w14:textId="77777777" w:rsidTr="001E2C3C">
        <w:tc>
          <w:tcPr>
            <w:tcW w:w="4248" w:type="dxa"/>
          </w:tcPr>
          <w:p w14:paraId="688F54C4" w14:textId="26A76647" w:rsidR="00387E87" w:rsidRDefault="00387E87" w:rsidP="00387E87">
            <w:pPr>
              <w:rPr>
                <w:rFonts w:cstheme="minorHAnsi"/>
                <w:b/>
                <w:bCs/>
                <w:sz w:val="24"/>
                <w:szCs w:val="24"/>
              </w:rPr>
            </w:pPr>
            <w:r w:rsidRPr="00FB1B89">
              <w:rPr>
                <w:rFonts w:eastAsia="Times New Roman" w:cstheme="minorHAnsi"/>
                <w:b/>
                <w:bCs/>
                <w:color w:val="000000"/>
                <w:lang w:eastAsia="en-GB"/>
              </w:rPr>
              <w:t>Housing Market Area</w:t>
            </w:r>
          </w:p>
        </w:tc>
        <w:tc>
          <w:tcPr>
            <w:tcW w:w="992" w:type="dxa"/>
          </w:tcPr>
          <w:p w14:paraId="5DB3CB47" w14:textId="7F0B8064" w:rsidR="00387E87" w:rsidRDefault="00387E87" w:rsidP="001E2C3C">
            <w:pPr>
              <w:jc w:val="center"/>
              <w:rPr>
                <w:rFonts w:cstheme="minorHAnsi"/>
                <w:b/>
                <w:bCs/>
                <w:sz w:val="24"/>
                <w:szCs w:val="24"/>
              </w:rPr>
            </w:pPr>
            <w:r w:rsidRPr="00FB1B89">
              <w:rPr>
                <w:rFonts w:eastAsia="Times New Roman" w:cstheme="minorHAnsi"/>
                <w:b/>
                <w:bCs/>
                <w:color w:val="000000"/>
                <w:lang w:eastAsia="en-GB"/>
              </w:rPr>
              <w:t>201</w:t>
            </w:r>
            <w:r>
              <w:rPr>
                <w:rFonts w:eastAsia="Times New Roman" w:cstheme="minorHAnsi"/>
                <w:b/>
                <w:bCs/>
                <w:color w:val="000000"/>
                <w:lang w:eastAsia="en-GB"/>
              </w:rPr>
              <w:t>4</w:t>
            </w:r>
            <w:r w:rsidRPr="00FB1B89">
              <w:rPr>
                <w:rFonts w:eastAsia="Times New Roman" w:cstheme="minorHAnsi"/>
                <w:b/>
                <w:bCs/>
                <w:color w:val="000000"/>
                <w:lang w:eastAsia="en-GB"/>
              </w:rPr>
              <w:t>-201</w:t>
            </w:r>
            <w:r>
              <w:rPr>
                <w:rFonts w:eastAsia="Times New Roman" w:cstheme="minorHAnsi"/>
                <w:b/>
                <w:bCs/>
                <w:color w:val="000000"/>
                <w:lang w:eastAsia="en-GB"/>
              </w:rPr>
              <w:t>7</w:t>
            </w:r>
          </w:p>
        </w:tc>
        <w:tc>
          <w:tcPr>
            <w:tcW w:w="1559" w:type="dxa"/>
          </w:tcPr>
          <w:p w14:paraId="558A4818" w14:textId="77496AEB" w:rsidR="00387E87" w:rsidRDefault="00387E87" w:rsidP="001E2C3C">
            <w:pPr>
              <w:jc w:val="center"/>
              <w:rPr>
                <w:rFonts w:cstheme="minorHAnsi"/>
                <w:b/>
                <w:bCs/>
                <w:sz w:val="24"/>
                <w:szCs w:val="24"/>
              </w:rPr>
            </w:pPr>
            <w:r w:rsidRPr="00FB1B89">
              <w:rPr>
                <w:rFonts w:eastAsia="Times New Roman" w:cstheme="minorHAnsi"/>
                <w:b/>
                <w:bCs/>
                <w:color w:val="000000"/>
                <w:lang w:eastAsia="en-GB"/>
              </w:rPr>
              <w:t>% of all sales from Falkirk</w:t>
            </w:r>
          </w:p>
        </w:tc>
        <w:tc>
          <w:tcPr>
            <w:tcW w:w="1418" w:type="dxa"/>
          </w:tcPr>
          <w:p w14:paraId="34FCB0BD" w14:textId="5697BD78" w:rsidR="00387E87" w:rsidRDefault="00387E87" w:rsidP="001E2C3C">
            <w:pPr>
              <w:jc w:val="center"/>
              <w:rPr>
                <w:rFonts w:cstheme="minorHAnsi"/>
                <w:b/>
                <w:bCs/>
                <w:sz w:val="24"/>
                <w:szCs w:val="24"/>
              </w:rPr>
            </w:pPr>
            <w:r w:rsidRPr="00FB1B89">
              <w:rPr>
                <w:rFonts w:eastAsia="Times New Roman" w:cstheme="minorHAnsi"/>
                <w:b/>
                <w:bCs/>
                <w:color w:val="000000"/>
                <w:lang w:eastAsia="en-GB"/>
              </w:rPr>
              <w:t xml:space="preserve">% of all sales in </w:t>
            </w:r>
            <w:r>
              <w:rPr>
                <w:rFonts w:eastAsia="Times New Roman" w:cstheme="minorHAnsi"/>
                <w:b/>
                <w:bCs/>
                <w:color w:val="000000"/>
                <w:lang w:eastAsia="en-GB"/>
              </w:rPr>
              <w:t>Edinburgh</w:t>
            </w:r>
          </w:p>
        </w:tc>
      </w:tr>
      <w:tr w:rsidR="00387E87" w14:paraId="3387A683" w14:textId="77777777" w:rsidTr="001E2C3C">
        <w:tc>
          <w:tcPr>
            <w:tcW w:w="4248" w:type="dxa"/>
            <w:vAlign w:val="bottom"/>
          </w:tcPr>
          <w:p w14:paraId="30170BAB" w14:textId="1912D4C7" w:rsidR="00387E87" w:rsidRDefault="00387E87" w:rsidP="00387E87">
            <w:pPr>
              <w:rPr>
                <w:rFonts w:cstheme="minorHAnsi"/>
                <w:b/>
                <w:bCs/>
                <w:sz w:val="24"/>
                <w:szCs w:val="24"/>
              </w:rPr>
            </w:pPr>
            <w:r w:rsidRPr="00FB1B89">
              <w:rPr>
                <w:rFonts w:eastAsia="Times New Roman" w:cstheme="minorHAnsi"/>
                <w:color w:val="000000"/>
                <w:lang w:eastAsia="en-GB"/>
              </w:rPr>
              <w:t>Bo'ness</w:t>
            </w:r>
          </w:p>
        </w:tc>
        <w:tc>
          <w:tcPr>
            <w:tcW w:w="992" w:type="dxa"/>
            <w:vAlign w:val="bottom"/>
          </w:tcPr>
          <w:p w14:paraId="7F276BB2" w14:textId="027989FF" w:rsidR="00387E87" w:rsidRDefault="00387E87" w:rsidP="001E2C3C">
            <w:pPr>
              <w:jc w:val="center"/>
              <w:rPr>
                <w:rFonts w:cstheme="minorHAnsi"/>
                <w:b/>
                <w:bCs/>
                <w:sz w:val="24"/>
                <w:szCs w:val="24"/>
              </w:rPr>
            </w:pPr>
            <w:r>
              <w:rPr>
                <w:rFonts w:ascii="Calibri" w:hAnsi="Calibri" w:cs="Calibri"/>
                <w:color w:val="000000"/>
              </w:rPr>
              <w:t>51</w:t>
            </w:r>
          </w:p>
        </w:tc>
        <w:tc>
          <w:tcPr>
            <w:tcW w:w="1559" w:type="dxa"/>
            <w:vAlign w:val="bottom"/>
          </w:tcPr>
          <w:p w14:paraId="265B7DEE" w14:textId="0BAFBBDB" w:rsidR="00387E87" w:rsidRDefault="00387E87" w:rsidP="001E2C3C">
            <w:pPr>
              <w:jc w:val="center"/>
              <w:rPr>
                <w:rFonts w:cstheme="minorHAnsi"/>
                <w:b/>
                <w:bCs/>
                <w:sz w:val="24"/>
                <w:szCs w:val="24"/>
              </w:rPr>
            </w:pPr>
            <w:r>
              <w:rPr>
                <w:rFonts w:ascii="Calibri" w:hAnsi="Calibri" w:cs="Calibri"/>
                <w:color w:val="000000"/>
              </w:rPr>
              <w:t>29%</w:t>
            </w:r>
          </w:p>
        </w:tc>
        <w:tc>
          <w:tcPr>
            <w:tcW w:w="1418" w:type="dxa"/>
            <w:vAlign w:val="bottom"/>
          </w:tcPr>
          <w:p w14:paraId="1EFAED74" w14:textId="6FC66739" w:rsidR="00387E87" w:rsidRDefault="00387E87" w:rsidP="001E2C3C">
            <w:pPr>
              <w:jc w:val="center"/>
              <w:rPr>
                <w:rFonts w:cstheme="minorHAnsi"/>
                <w:b/>
                <w:bCs/>
                <w:sz w:val="24"/>
                <w:szCs w:val="24"/>
              </w:rPr>
            </w:pPr>
            <w:r>
              <w:rPr>
                <w:rFonts w:ascii="Calibri" w:hAnsi="Calibri" w:cs="Calibri"/>
                <w:color w:val="000000"/>
              </w:rPr>
              <w:t>0.12%</w:t>
            </w:r>
          </w:p>
        </w:tc>
      </w:tr>
      <w:tr w:rsidR="00387E87" w14:paraId="7FED686D" w14:textId="77777777" w:rsidTr="001E2C3C">
        <w:tc>
          <w:tcPr>
            <w:tcW w:w="4248" w:type="dxa"/>
            <w:vAlign w:val="bottom"/>
          </w:tcPr>
          <w:p w14:paraId="760BB44C" w14:textId="2972DC0D" w:rsidR="00387E87" w:rsidRDefault="00387E87" w:rsidP="00387E87">
            <w:pPr>
              <w:rPr>
                <w:rFonts w:cstheme="minorHAnsi"/>
                <w:b/>
                <w:bCs/>
                <w:sz w:val="24"/>
                <w:szCs w:val="24"/>
              </w:rPr>
            </w:pPr>
            <w:r w:rsidRPr="00FB1B89">
              <w:rPr>
                <w:rFonts w:eastAsia="Times New Roman" w:cstheme="minorHAnsi"/>
                <w:color w:val="000000"/>
                <w:lang w:eastAsia="en-GB"/>
              </w:rPr>
              <w:t>Denny &amp; Bonnybridge</w:t>
            </w:r>
          </w:p>
        </w:tc>
        <w:tc>
          <w:tcPr>
            <w:tcW w:w="992" w:type="dxa"/>
            <w:vAlign w:val="bottom"/>
          </w:tcPr>
          <w:p w14:paraId="3A10B71A" w14:textId="3670AE13" w:rsidR="00387E87" w:rsidRDefault="00387E87" w:rsidP="001E2C3C">
            <w:pPr>
              <w:jc w:val="center"/>
              <w:rPr>
                <w:rFonts w:cstheme="minorHAnsi"/>
                <w:b/>
                <w:bCs/>
                <w:sz w:val="24"/>
                <w:szCs w:val="24"/>
              </w:rPr>
            </w:pPr>
            <w:r>
              <w:rPr>
                <w:rFonts w:ascii="Calibri" w:hAnsi="Calibri" w:cs="Calibri"/>
                <w:color w:val="000000"/>
              </w:rPr>
              <w:t>11</w:t>
            </w:r>
          </w:p>
        </w:tc>
        <w:tc>
          <w:tcPr>
            <w:tcW w:w="1559" w:type="dxa"/>
            <w:vAlign w:val="bottom"/>
          </w:tcPr>
          <w:p w14:paraId="2E4D4513" w14:textId="1BD2D018" w:rsidR="00387E87" w:rsidRDefault="00387E87" w:rsidP="001E2C3C">
            <w:pPr>
              <w:jc w:val="center"/>
              <w:rPr>
                <w:rFonts w:cstheme="minorHAnsi"/>
                <w:b/>
                <w:bCs/>
                <w:sz w:val="24"/>
                <w:szCs w:val="24"/>
              </w:rPr>
            </w:pPr>
            <w:r>
              <w:rPr>
                <w:rFonts w:ascii="Calibri" w:hAnsi="Calibri" w:cs="Calibri"/>
                <w:color w:val="000000"/>
              </w:rPr>
              <w:t>6%</w:t>
            </w:r>
          </w:p>
        </w:tc>
        <w:tc>
          <w:tcPr>
            <w:tcW w:w="1418" w:type="dxa"/>
            <w:vAlign w:val="bottom"/>
          </w:tcPr>
          <w:p w14:paraId="655FC191" w14:textId="0185DD3F" w:rsidR="00387E87" w:rsidRDefault="00387E87" w:rsidP="001E2C3C">
            <w:pPr>
              <w:jc w:val="center"/>
              <w:rPr>
                <w:rFonts w:cstheme="minorHAnsi"/>
                <w:b/>
                <w:bCs/>
                <w:sz w:val="24"/>
                <w:szCs w:val="24"/>
              </w:rPr>
            </w:pPr>
            <w:r>
              <w:rPr>
                <w:rFonts w:ascii="Calibri" w:hAnsi="Calibri" w:cs="Calibri"/>
                <w:color w:val="000000"/>
              </w:rPr>
              <w:t>0.03%</w:t>
            </w:r>
          </w:p>
        </w:tc>
      </w:tr>
      <w:tr w:rsidR="00387E87" w14:paraId="02835E68" w14:textId="77777777" w:rsidTr="001E2C3C">
        <w:tc>
          <w:tcPr>
            <w:tcW w:w="4248" w:type="dxa"/>
            <w:vAlign w:val="bottom"/>
          </w:tcPr>
          <w:p w14:paraId="51CC291D" w14:textId="07857A07" w:rsidR="00387E87" w:rsidRDefault="00387E87" w:rsidP="00387E87">
            <w:pPr>
              <w:rPr>
                <w:rFonts w:cstheme="minorHAnsi"/>
                <w:b/>
                <w:bCs/>
                <w:sz w:val="24"/>
                <w:szCs w:val="24"/>
              </w:rPr>
            </w:pPr>
            <w:r w:rsidRPr="00FB1B89">
              <w:rPr>
                <w:rFonts w:eastAsia="Times New Roman" w:cstheme="minorHAnsi"/>
                <w:color w:val="000000"/>
                <w:lang w:eastAsia="en-GB"/>
              </w:rPr>
              <w:t>Falkirk</w:t>
            </w:r>
          </w:p>
        </w:tc>
        <w:tc>
          <w:tcPr>
            <w:tcW w:w="992" w:type="dxa"/>
            <w:vAlign w:val="bottom"/>
          </w:tcPr>
          <w:p w14:paraId="20521FC5" w14:textId="26A7249B" w:rsidR="00387E87" w:rsidRDefault="00387E87" w:rsidP="001E2C3C">
            <w:pPr>
              <w:jc w:val="center"/>
              <w:rPr>
                <w:rFonts w:cstheme="minorHAnsi"/>
                <w:b/>
                <w:bCs/>
                <w:sz w:val="24"/>
                <w:szCs w:val="24"/>
              </w:rPr>
            </w:pPr>
            <w:r>
              <w:rPr>
                <w:rFonts w:ascii="Calibri" w:hAnsi="Calibri" w:cs="Calibri"/>
                <w:color w:val="000000"/>
              </w:rPr>
              <w:t>47</w:t>
            </w:r>
          </w:p>
        </w:tc>
        <w:tc>
          <w:tcPr>
            <w:tcW w:w="1559" w:type="dxa"/>
            <w:vAlign w:val="bottom"/>
          </w:tcPr>
          <w:p w14:paraId="09998111" w14:textId="753406EA" w:rsidR="00387E87" w:rsidRDefault="00387E87" w:rsidP="001E2C3C">
            <w:pPr>
              <w:jc w:val="center"/>
              <w:rPr>
                <w:rFonts w:cstheme="minorHAnsi"/>
                <w:b/>
                <w:bCs/>
                <w:sz w:val="24"/>
                <w:szCs w:val="24"/>
              </w:rPr>
            </w:pPr>
            <w:r>
              <w:rPr>
                <w:rFonts w:ascii="Calibri" w:hAnsi="Calibri" w:cs="Calibri"/>
                <w:color w:val="000000"/>
              </w:rPr>
              <w:t>27%</w:t>
            </w:r>
          </w:p>
        </w:tc>
        <w:tc>
          <w:tcPr>
            <w:tcW w:w="1418" w:type="dxa"/>
            <w:vAlign w:val="bottom"/>
          </w:tcPr>
          <w:p w14:paraId="60F91B00" w14:textId="67FA34D5" w:rsidR="00387E87" w:rsidRDefault="00387E87" w:rsidP="001E2C3C">
            <w:pPr>
              <w:jc w:val="center"/>
              <w:rPr>
                <w:rFonts w:cstheme="minorHAnsi"/>
                <w:b/>
                <w:bCs/>
                <w:sz w:val="24"/>
                <w:szCs w:val="24"/>
              </w:rPr>
            </w:pPr>
            <w:r>
              <w:rPr>
                <w:rFonts w:ascii="Calibri" w:hAnsi="Calibri" w:cs="Calibri"/>
                <w:color w:val="000000"/>
              </w:rPr>
              <w:t>0.11%</w:t>
            </w:r>
          </w:p>
        </w:tc>
      </w:tr>
      <w:tr w:rsidR="00387E87" w14:paraId="1E5D34FE" w14:textId="77777777" w:rsidTr="001E2C3C">
        <w:tc>
          <w:tcPr>
            <w:tcW w:w="4248" w:type="dxa"/>
            <w:vAlign w:val="bottom"/>
          </w:tcPr>
          <w:p w14:paraId="71C63281" w14:textId="78C6ACFE" w:rsidR="00387E87" w:rsidRPr="00FB1B89" w:rsidRDefault="00387E87" w:rsidP="00387E87">
            <w:pPr>
              <w:rPr>
                <w:rFonts w:eastAsia="Times New Roman" w:cstheme="minorHAnsi"/>
                <w:color w:val="000000"/>
                <w:lang w:eastAsia="en-GB"/>
              </w:rPr>
            </w:pPr>
            <w:r w:rsidRPr="00FB1B89">
              <w:rPr>
                <w:rFonts w:eastAsia="Times New Roman" w:cstheme="minorHAnsi"/>
                <w:color w:val="000000"/>
                <w:lang w:eastAsia="en-GB"/>
              </w:rPr>
              <w:t>Grangemouth</w:t>
            </w:r>
          </w:p>
        </w:tc>
        <w:tc>
          <w:tcPr>
            <w:tcW w:w="992" w:type="dxa"/>
            <w:vAlign w:val="bottom"/>
          </w:tcPr>
          <w:p w14:paraId="5B8C838F" w14:textId="78E7795E" w:rsidR="00387E87" w:rsidRDefault="00387E87" w:rsidP="001E2C3C">
            <w:pPr>
              <w:jc w:val="center"/>
              <w:rPr>
                <w:rFonts w:ascii="Calibri" w:hAnsi="Calibri" w:cs="Calibri"/>
                <w:color w:val="000000"/>
              </w:rPr>
            </w:pPr>
            <w:r>
              <w:rPr>
                <w:rFonts w:ascii="Calibri" w:hAnsi="Calibri" w:cs="Calibri"/>
                <w:color w:val="000000"/>
              </w:rPr>
              <w:t>2</w:t>
            </w:r>
          </w:p>
        </w:tc>
        <w:tc>
          <w:tcPr>
            <w:tcW w:w="1559" w:type="dxa"/>
            <w:vAlign w:val="bottom"/>
          </w:tcPr>
          <w:p w14:paraId="389FF92A" w14:textId="6327F6F8" w:rsidR="00387E87" w:rsidRDefault="00387E87" w:rsidP="001E2C3C">
            <w:pPr>
              <w:jc w:val="center"/>
              <w:rPr>
                <w:rFonts w:ascii="Calibri" w:hAnsi="Calibri" w:cs="Calibri"/>
                <w:color w:val="000000"/>
              </w:rPr>
            </w:pPr>
            <w:r>
              <w:rPr>
                <w:rFonts w:ascii="Calibri" w:hAnsi="Calibri" w:cs="Calibri"/>
                <w:color w:val="000000"/>
              </w:rPr>
              <w:t>1%</w:t>
            </w:r>
          </w:p>
        </w:tc>
        <w:tc>
          <w:tcPr>
            <w:tcW w:w="1418" w:type="dxa"/>
            <w:vAlign w:val="bottom"/>
          </w:tcPr>
          <w:p w14:paraId="6C268F88" w14:textId="0F3A709F" w:rsidR="00387E87" w:rsidRDefault="00387E87" w:rsidP="001E2C3C">
            <w:pPr>
              <w:jc w:val="center"/>
              <w:rPr>
                <w:rFonts w:ascii="Calibri" w:hAnsi="Calibri" w:cs="Calibri"/>
                <w:color w:val="000000"/>
              </w:rPr>
            </w:pPr>
            <w:r>
              <w:rPr>
                <w:rFonts w:ascii="Calibri" w:hAnsi="Calibri" w:cs="Calibri"/>
                <w:color w:val="000000"/>
              </w:rPr>
              <w:t>0.00%</w:t>
            </w:r>
          </w:p>
        </w:tc>
      </w:tr>
      <w:tr w:rsidR="00387E87" w14:paraId="1B939B8F" w14:textId="77777777" w:rsidTr="001E2C3C">
        <w:tc>
          <w:tcPr>
            <w:tcW w:w="4248" w:type="dxa"/>
            <w:vAlign w:val="bottom"/>
          </w:tcPr>
          <w:p w14:paraId="04115CEF" w14:textId="08C37812" w:rsidR="00387E87" w:rsidRPr="00FB1B89" w:rsidRDefault="00387E87" w:rsidP="00387E87">
            <w:pPr>
              <w:rPr>
                <w:rFonts w:eastAsia="Times New Roman" w:cstheme="minorHAnsi"/>
                <w:color w:val="000000"/>
                <w:lang w:eastAsia="en-GB"/>
              </w:rPr>
            </w:pPr>
            <w:r>
              <w:rPr>
                <w:rFonts w:eastAsia="Times New Roman" w:cstheme="minorHAnsi"/>
                <w:color w:val="000000"/>
                <w:lang w:eastAsia="en-GB"/>
              </w:rPr>
              <w:t>Braes</w:t>
            </w:r>
            <w:r w:rsidRPr="00FB1B89">
              <w:rPr>
                <w:rFonts w:eastAsia="Times New Roman" w:cstheme="minorHAnsi"/>
                <w:color w:val="000000"/>
                <w:lang w:eastAsia="en-GB"/>
              </w:rPr>
              <w:t xml:space="preserve"> &amp; Rural South</w:t>
            </w:r>
          </w:p>
        </w:tc>
        <w:tc>
          <w:tcPr>
            <w:tcW w:w="992" w:type="dxa"/>
            <w:vAlign w:val="bottom"/>
          </w:tcPr>
          <w:p w14:paraId="2926E6DC" w14:textId="4DE20A14" w:rsidR="00387E87" w:rsidRDefault="00387E87" w:rsidP="001E2C3C">
            <w:pPr>
              <w:jc w:val="center"/>
              <w:rPr>
                <w:rFonts w:ascii="Calibri" w:hAnsi="Calibri" w:cs="Calibri"/>
                <w:color w:val="000000"/>
              </w:rPr>
            </w:pPr>
            <w:r>
              <w:rPr>
                <w:rFonts w:ascii="Calibri" w:hAnsi="Calibri" w:cs="Calibri"/>
                <w:color w:val="000000"/>
              </w:rPr>
              <w:t>38</w:t>
            </w:r>
          </w:p>
        </w:tc>
        <w:tc>
          <w:tcPr>
            <w:tcW w:w="1559" w:type="dxa"/>
            <w:vAlign w:val="bottom"/>
          </w:tcPr>
          <w:p w14:paraId="54735BF0" w14:textId="73A97C4D" w:rsidR="00387E87" w:rsidRDefault="00387E87" w:rsidP="001E2C3C">
            <w:pPr>
              <w:jc w:val="center"/>
              <w:rPr>
                <w:rFonts w:ascii="Calibri" w:hAnsi="Calibri" w:cs="Calibri"/>
                <w:color w:val="000000"/>
              </w:rPr>
            </w:pPr>
            <w:r>
              <w:rPr>
                <w:rFonts w:ascii="Calibri" w:hAnsi="Calibri" w:cs="Calibri"/>
                <w:color w:val="000000"/>
              </w:rPr>
              <w:t>21%</w:t>
            </w:r>
          </w:p>
        </w:tc>
        <w:tc>
          <w:tcPr>
            <w:tcW w:w="1418" w:type="dxa"/>
            <w:vAlign w:val="bottom"/>
          </w:tcPr>
          <w:p w14:paraId="689AF41B" w14:textId="48128A69" w:rsidR="00387E87" w:rsidRDefault="00387E87" w:rsidP="001E2C3C">
            <w:pPr>
              <w:jc w:val="center"/>
              <w:rPr>
                <w:rFonts w:ascii="Calibri" w:hAnsi="Calibri" w:cs="Calibri"/>
                <w:color w:val="000000"/>
              </w:rPr>
            </w:pPr>
            <w:r>
              <w:rPr>
                <w:rFonts w:ascii="Calibri" w:hAnsi="Calibri" w:cs="Calibri"/>
                <w:color w:val="000000"/>
              </w:rPr>
              <w:t>0.09%</w:t>
            </w:r>
          </w:p>
        </w:tc>
      </w:tr>
      <w:tr w:rsidR="00387E87" w14:paraId="084C3016" w14:textId="77777777" w:rsidTr="001E2C3C">
        <w:tc>
          <w:tcPr>
            <w:tcW w:w="4248" w:type="dxa"/>
            <w:vAlign w:val="bottom"/>
          </w:tcPr>
          <w:p w14:paraId="62FD8F09" w14:textId="6DDD77B5" w:rsidR="00387E87" w:rsidRDefault="00387E87" w:rsidP="00387E87">
            <w:pPr>
              <w:rPr>
                <w:rFonts w:eastAsia="Times New Roman" w:cstheme="minorHAnsi"/>
                <w:color w:val="000000"/>
                <w:lang w:eastAsia="en-GB"/>
              </w:rPr>
            </w:pPr>
            <w:r w:rsidRPr="00FB1B89">
              <w:rPr>
                <w:rFonts w:eastAsia="Times New Roman" w:cstheme="minorHAnsi"/>
                <w:color w:val="000000"/>
                <w:lang w:eastAsia="en-GB"/>
              </w:rPr>
              <w:t>Stenhousemuir Larbert &amp; Rural North</w:t>
            </w:r>
          </w:p>
        </w:tc>
        <w:tc>
          <w:tcPr>
            <w:tcW w:w="992" w:type="dxa"/>
            <w:vAlign w:val="bottom"/>
          </w:tcPr>
          <w:p w14:paraId="34653A0A" w14:textId="6446520A" w:rsidR="00387E87" w:rsidRDefault="00387E87" w:rsidP="001E2C3C">
            <w:pPr>
              <w:jc w:val="center"/>
              <w:rPr>
                <w:rFonts w:ascii="Calibri" w:hAnsi="Calibri" w:cs="Calibri"/>
                <w:color w:val="000000"/>
              </w:rPr>
            </w:pPr>
            <w:r>
              <w:rPr>
                <w:rFonts w:ascii="Calibri" w:hAnsi="Calibri" w:cs="Calibri"/>
                <w:color w:val="000000"/>
              </w:rPr>
              <w:t>28</w:t>
            </w:r>
          </w:p>
        </w:tc>
        <w:tc>
          <w:tcPr>
            <w:tcW w:w="1559" w:type="dxa"/>
            <w:vAlign w:val="bottom"/>
          </w:tcPr>
          <w:p w14:paraId="2A706F72" w14:textId="78C62A10" w:rsidR="00387E87" w:rsidRDefault="00387E87" w:rsidP="001E2C3C">
            <w:pPr>
              <w:jc w:val="center"/>
              <w:rPr>
                <w:rFonts w:ascii="Calibri" w:hAnsi="Calibri" w:cs="Calibri"/>
                <w:color w:val="000000"/>
              </w:rPr>
            </w:pPr>
            <w:r>
              <w:rPr>
                <w:rFonts w:ascii="Calibri" w:hAnsi="Calibri" w:cs="Calibri"/>
                <w:color w:val="000000"/>
              </w:rPr>
              <w:t>16%</w:t>
            </w:r>
          </w:p>
        </w:tc>
        <w:tc>
          <w:tcPr>
            <w:tcW w:w="1418" w:type="dxa"/>
            <w:vAlign w:val="bottom"/>
          </w:tcPr>
          <w:p w14:paraId="36702BC7" w14:textId="65489F3F" w:rsidR="00387E87" w:rsidRDefault="00387E87" w:rsidP="001E2C3C">
            <w:pPr>
              <w:jc w:val="center"/>
              <w:rPr>
                <w:rFonts w:ascii="Calibri" w:hAnsi="Calibri" w:cs="Calibri"/>
                <w:color w:val="000000"/>
              </w:rPr>
            </w:pPr>
            <w:r>
              <w:rPr>
                <w:rFonts w:ascii="Calibri" w:hAnsi="Calibri" w:cs="Calibri"/>
                <w:color w:val="000000"/>
              </w:rPr>
              <w:t>0.07%</w:t>
            </w:r>
          </w:p>
        </w:tc>
      </w:tr>
      <w:tr w:rsidR="00387E87" w14:paraId="361866CE" w14:textId="77777777" w:rsidTr="001E2C3C">
        <w:tc>
          <w:tcPr>
            <w:tcW w:w="4248" w:type="dxa"/>
            <w:vAlign w:val="bottom"/>
          </w:tcPr>
          <w:p w14:paraId="2A3F8B65" w14:textId="612CC314" w:rsidR="00387E87" w:rsidRPr="00FB1B89" w:rsidRDefault="00387E87" w:rsidP="00387E87">
            <w:pPr>
              <w:rPr>
                <w:rFonts w:eastAsia="Times New Roman" w:cstheme="minorHAnsi"/>
                <w:color w:val="000000"/>
                <w:lang w:eastAsia="en-GB"/>
              </w:rPr>
            </w:pPr>
            <w:r w:rsidRPr="00FB1B89">
              <w:rPr>
                <w:rFonts w:eastAsia="Times New Roman" w:cstheme="minorHAnsi"/>
                <w:b/>
                <w:bCs/>
                <w:color w:val="000000"/>
                <w:lang w:eastAsia="en-GB"/>
              </w:rPr>
              <w:t>Total</w:t>
            </w:r>
          </w:p>
        </w:tc>
        <w:tc>
          <w:tcPr>
            <w:tcW w:w="992" w:type="dxa"/>
            <w:vAlign w:val="bottom"/>
          </w:tcPr>
          <w:p w14:paraId="62D36473" w14:textId="0D44B2BB" w:rsidR="00387E87" w:rsidRDefault="00387E87" w:rsidP="001E2C3C">
            <w:pPr>
              <w:jc w:val="center"/>
              <w:rPr>
                <w:rFonts w:ascii="Calibri" w:hAnsi="Calibri" w:cs="Calibri"/>
                <w:color w:val="000000"/>
              </w:rPr>
            </w:pPr>
            <w:r>
              <w:rPr>
                <w:rFonts w:ascii="Calibri" w:hAnsi="Calibri" w:cs="Calibri"/>
                <w:b/>
                <w:bCs/>
                <w:color w:val="000000"/>
              </w:rPr>
              <w:t>177</w:t>
            </w:r>
          </w:p>
        </w:tc>
        <w:tc>
          <w:tcPr>
            <w:tcW w:w="1559" w:type="dxa"/>
            <w:vAlign w:val="bottom"/>
          </w:tcPr>
          <w:p w14:paraId="62C189E9" w14:textId="1F8968F5" w:rsidR="00387E87" w:rsidRDefault="00387E87" w:rsidP="001E2C3C">
            <w:pPr>
              <w:jc w:val="center"/>
              <w:rPr>
                <w:rFonts w:ascii="Calibri" w:hAnsi="Calibri" w:cs="Calibri"/>
                <w:color w:val="000000"/>
              </w:rPr>
            </w:pPr>
            <w:r>
              <w:rPr>
                <w:rFonts w:ascii="Calibri" w:hAnsi="Calibri" w:cs="Calibri"/>
                <w:b/>
                <w:bCs/>
                <w:color w:val="000000"/>
              </w:rPr>
              <w:t>100%</w:t>
            </w:r>
          </w:p>
        </w:tc>
        <w:tc>
          <w:tcPr>
            <w:tcW w:w="1418" w:type="dxa"/>
            <w:vAlign w:val="bottom"/>
          </w:tcPr>
          <w:p w14:paraId="35D48C55" w14:textId="758C3B3E" w:rsidR="00387E87" w:rsidRDefault="00387E87" w:rsidP="001E2C3C">
            <w:pPr>
              <w:jc w:val="center"/>
              <w:rPr>
                <w:rFonts w:ascii="Calibri" w:hAnsi="Calibri" w:cs="Calibri"/>
                <w:color w:val="000000"/>
              </w:rPr>
            </w:pPr>
            <w:r>
              <w:rPr>
                <w:rFonts w:ascii="Calibri" w:hAnsi="Calibri" w:cs="Calibri"/>
                <w:b/>
                <w:bCs/>
                <w:color w:val="000000"/>
              </w:rPr>
              <w:t>0.42%</w:t>
            </w:r>
          </w:p>
        </w:tc>
      </w:tr>
    </w:tbl>
    <w:p w14:paraId="6766AAEA" w14:textId="7D63E1DE" w:rsidR="00387E87" w:rsidRDefault="00387E87" w:rsidP="00387E87">
      <w:pPr>
        <w:rPr>
          <w:rFonts w:cstheme="minorHAnsi"/>
          <w:sz w:val="18"/>
          <w:szCs w:val="18"/>
        </w:rPr>
      </w:pPr>
      <w:r w:rsidRPr="00A35003">
        <w:rPr>
          <w:rFonts w:cstheme="minorHAnsi"/>
          <w:sz w:val="18"/>
          <w:szCs w:val="18"/>
        </w:rPr>
        <w:t>Source: Registers of Scotland with further processing by Scottish Government</w:t>
      </w:r>
    </w:p>
    <w:p w14:paraId="27E0491E" w14:textId="77777777" w:rsidR="00387E87" w:rsidRPr="001E2C3C" w:rsidRDefault="00387E87" w:rsidP="00387E87">
      <w:pPr>
        <w:pStyle w:val="Heading3"/>
        <w:rPr>
          <w:b/>
          <w:bCs/>
          <w:color w:val="auto"/>
        </w:rPr>
      </w:pPr>
      <w:r w:rsidRPr="001E2C3C">
        <w:rPr>
          <w:b/>
          <w:bCs/>
          <w:color w:val="auto"/>
        </w:rPr>
        <w:t>Stirling</w:t>
      </w:r>
    </w:p>
    <w:p w14:paraId="6261CD40" w14:textId="7483CF99" w:rsidR="00387E87" w:rsidRDefault="00387E87" w:rsidP="00387E87">
      <w:pPr>
        <w:rPr>
          <w:rFonts w:cstheme="minorHAnsi"/>
        </w:rPr>
      </w:pPr>
      <w:r>
        <w:rPr>
          <w:rFonts w:cstheme="minorHAnsi"/>
        </w:rPr>
        <w:t xml:space="preserve">There </w:t>
      </w:r>
      <w:r w:rsidR="00AE7CD6">
        <w:rPr>
          <w:rFonts w:cstheme="minorHAnsi"/>
        </w:rPr>
        <w:t>was</w:t>
      </w:r>
      <w:r>
        <w:rPr>
          <w:rFonts w:cstheme="minorHAnsi"/>
        </w:rPr>
        <w:t xml:space="preserve"> a total of 5,919 sales made in Stirling between 2014 and 2017. A total of 4.29% of sales came from the Falkirk area, this is the same as previous analysis undertaken for the last HNDA. In terms of sales that had a Falkirk Council origin, the majority at 33% came from Stenhousemuir, Larbert &amp; Rural North and 26% from Denny &amp; Bonnybridge.</w:t>
      </w:r>
    </w:p>
    <w:p w14:paraId="5D0C09C8" w14:textId="4C1D5AF7" w:rsidR="00387E87" w:rsidRPr="001E2C3C" w:rsidRDefault="00387E87" w:rsidP="00387E87">
      <w:pPr>
        <w:pStyle w:val="Heading4"/>
        <w:rPr>
          <w:b/>
          <w:bCs/>
          <w:i w:val="0"/>
          <w:iCs w:val="0"/>
          <w:color w:val="auto"/>
        </w:rPr>
      </w:pPr>
      <w:r w:rsidRPr="001E2C3C">
        <w:rPr>
          <w:b/>
          <w:bCs/>
          <w:i w:val="0"/>
          <w:iCs w:val="0"/>
          <w:color w:val="auto"/>
        </w:rPr>
        <w:lastRenderedPageBreak/>
        <w:t>Table 5: House Sales in Stirling originating from Falkirk 2014-2017</w:t>
      </w:r>
    </w:p>
    <w:tbl>
      <w:tblPr>
        <w:tblStyle w:val="TableGrid"/>
        <w:tblW w:w="0" w:type="auto"/>
        <w:tblLook w:val="04A0" w:firstRow="1" w:lastRow="0" w:firstColumn="1" w:lastColumn="0" w:noHBand="0" w:noVBand="1"/>
      </w:tblPr>
      <w:tblGrid>
        <w:gridCol w:w="4673"/>
        <w:gridCol w:w="992"/>
        <w:gridCol w:w="1418"/>
        <w:gridCol w:w="1417"/>
      </w:tblGrid>
      <w:tr w:rsidR="00387E87" w14:paraId="544EACCD" w14:textId="77777777" w:rsidTr="001E2C3C">
        <w:tc>
          <w:tcPr>
            <w:tcW w:w="4673" w:type="dxa"/>
          </w:tcPr>
          <w:p w14:paraId="511C8481" w14:textId="304A6FC3" w:rsidR="00387E87" w:rsidRDefault="00387E87" w:rsidP="00387E87">
            <w:r w:rsidRPr="00FB1B89">
              <w:rPr>
                <w:rFonts w:eastAsia="Times New Roman" w:cstheme="minorHAnsi"/>
                <w:b/>
                <w:bCs/>
                <w:color w:val="000000"/>
                <w:lang w:eastAsia="en-GB"/>
              </w:rPr>
              <w:t>Housing Market Area</w:t>
            </w:r>
          </w:p>
        </w:tc>
        <w:tc>
          <w:tcPr>
            <w:tcW w:w="992" w:type="dxa"/>
          </w:tcPr>
          <w:p w14:paraId="4E141836" w14:textId="32AE5ABE" w:rsidR="00387E87" w:rsidRDefault="00387E87" w:rsidP="001E2C3C">
            <w:pPr>
              <w:jc w:val="center"/>
            </w:pPr>
            <w:r w:rsidRPr="00FB1B89">
              <w:rPr>
                <w:rFonts w:eastAsia="Times New Roman" w:cstheme="minorHAnsi"/>
                <w:b/>
                <w:bCs/>
                <w:color w:val="000000"/>
                <w:lang w:eastAsia="en-GB"/>
              </w:rPr>
              <w:t>201</w:t>
            </w:r>
            <w:r>
              <w:rPr>
                <w:rFonts w:eastAsia="Times New Roman" w:cstheme="minorHAnsi"/>
                <w:b/>
                <w:bCs/>
                <w:color w:val="000000"/>
                <w:lang w:eastAsia="en-GB"/>
              </w:rPr>
              <w:t>4</w:t>
            </w:r>
            <w:r w:rsidRPr="00FB1B89">
              <w:rPr>
                <w:rFonts w:eastAsia="Times New Roman" w:cstheme="minorHAnsi"/>
                <w:b/>
                <w:bCs/>
                <w:color w:val="000000"/>
                <w:lang w:eastAsia="en-GB"/>
              </w:rPr>
              <w:t>-201</w:t>
            </w:r>
            <w:r>
              <w:rPr>
                <w:rFonts w:eastAsia="Times New Roman" w:cstheme="minorHAnsi"/>
                <w:b/>
                <w:bCs/>
                <w:color w:val="000000"/>
                <w:lang w:eastAsia="en-GB"/>
              </w:rPr>
              <w:t>7</w:t>
            </w:r>
          </w:p>
        </w:tc>
        <w:tc>
          <w:tcPr>
            <w:tcW w:w="1418" w:type="dxa"/>
          </w:tcPr>
          <w:p w14:paraId="73F1B72A" w14:textId="65DBE8C3" w:rsidR="00387E87" w:rsidRDefault="00387E87" w:rsidP="001E2C3C">
            <w:pPr>
              <w:jc w:val="center"/>
            </w:pPr>
            <w:r w:rsidRPr="00FB1B89">
              <w:rPr>
                <w:rFonts w:eastAsia="Times New Roman" w:cstheme="minorHAnsi"/>
                <w:b/>
                <w:bCs/>
                <w:color w:val="000000"/>
                <w:lang w:eastAsia="en-GB"/>
              </w:rPr>
              <w:t>% of all sales from Falkirk</w:t>
            </w:r>
          </w:p>
        </w:tc>
        <w:tc>
          <w:tcPr>
            <w:tcW w:w="1417" w:type="dxa"/>
          </w:tcPr>
          <w:p w14:paraId="1B0CC783" w14:textId="407D7474" w:rsidR="00387E87" w:rsidRDefault="00387E87" w:rsidP="001E2C3C">
            <w:pPr>
              <w:jc w:val="center"/>
            </w:pPr>
            <w:r w:rsidRPr="00FB1B89">
              <w:rPr>
                <w:rFonts w:eastAsia="Times New Roman" w:cstheme="minorHAnsi"/>
                <w:b/>
                <w:bCs/>
                <w:color w:val="000000"/>
                <w:lang w:eastAsia="en-GB"/>
              </w:rPr>
              <w:t xml:space="preserve">% of all sales in </w:t>
            </w:r>
            <w:r>
              <w:rPr>
                <w:rFonts w:eastAsia="Times New Roman" w:cstheme="minorHAnsi"/>
                <w:b/>
                <w:bCs/>
                <w:color w:val="000000"/>
                <w:lang w:eastAsia="en-GB"/>
              </w:rPr>
              <w:t>Stirling</w:t>
            </w:r>
          </w:p>
        </w:tc>
      </w:tr>
      <w:tr w:rsidR="00387E87" w14:paraId="58290ED6" w14:textId="77777777" w:rsidTr="001E2C3C">
        <w:tc>
          <w:tcPr>
            <w:tcW w:w="4673" w:type="dxa"/>
            <w:vAlign w:val="bottom"/>
          </w:tcPr>
          <w:p w14:paraId="694827DC" w14:textId="79B004AE" w:rsidR="00387E87" w:rsidRDefault="00387E87" w:rsidP="00387E87">
            <w:r w:rsidRPr="00FB1B89">
              <w:rPr>
                <w:rFonts w:eastAsia="Times New Roman" w:cstheme="minorHAnsi"/>
                <w:color w:val="000000"/>
                <w:lang w:eastAsia="en-GB"/>
              </w:rPr>
              <w:t>Bo'ness</w:t>
            </w:r>
          </w:p>
        </w:tc>
        <w:tc>
          <w:tcPr>
            <w:tcW w:w="992" w:type="dxa"/>
            <w:vAlign w:val="bottom"/>
          </w:tcPr>
          <w:p w14:paraId="102E18A3" w14:textId="70B0884F" w:rsidR="00387E87" w:rsidRDefault="00387E87" w:rsidP="001E2C3C">
            <w:pPr>
              <w:jc w:val="center"/>
            </w:pPr>
            <w:r>
              <w:rPr>
                <w:rFonts w:ascii="Calibri" w:hAnsi="Calibri" w:cs="Calibri"/>
                <w:color w:val="000000"/>
              </w:rPr>
              <w:t>9</w:t>
            </w:r>
          </w:p>
        </w:tc>
        <w:tc>
          <w:tcPr>
            <w:tcW w:w="1418" w:type="dxa"/>
            <w:vAlign w:val="bottom"/>
          </w:tcPr>
          <w:p w14:paraId="5373E667" w14:textId="3F6A3DB4" w:rsidR="00387E87" w:rsidRDefault="00387E87" w:rsidP="001E2C3C">
            <w:pPr>
              <w:jc w:val="center"/>
            </w:pPr>
            <w:r>
              <w:rPr>
                <w:rFonts w:ascii="Calibri" w:hAnsi="Calibri" w:cs="Calibri"/>
                <w:color w:val="000000"/>
              </w:rPr>
              <w:t>4%</w:t>
            </w:r>
          </w:p>
        </w:tc>
        <w:tc>
          <w:tcPr>
            <w:tcW w:w="1417" w:type="dxa"/>
            <w:vAlign w:val="bottom"/>
          </w:tcPr>
          <w:p w14:paraId="205AD84F" w14:textId="69CDF7BB" w:rsidR="00387E87" w:rsidRDefault="00387E87" w:rsidP="001E2C3C">
            <w:pPr>
              <w:jc w:val="center"/>
            </w:pPr>
            <w:r>
              <w:rPr>
                <w:rFonts w:ascii="Calibri" w:hAnsi="Calibri" w:cs="Calibri"/>
                <w:color w:val="000000"/>
              </w:rPr>
              <w:t>0.15%</w:t>
            </w:r>
          </w:p>
        </w:tc>
      </w:tr>
      <w:tr w:rsidR="00387E87" w14:paraId="4C042FDA" w14:textId="77777777" w:rsidTr="001E2C3C">
        <w:tc>
          <w:tcPr>
            <w:tcW w:w="4673" w:type="dxa"/>
            <w:vAlign w:val="bottom"/>
          </w:tcPr>
          <w:p w14:paraId="3A2B142A" w14:textId="1DA5BCDE" w:rsidR="00387E87" w:rsidRDefault="00387E87" w:rsidP="00387E87">
            <w:r w:rsidRPr="00FB1B89">
              <w:rPr>
                <w:rFonts w:eastAsia="Times New Roman" w:cstheme="minorHAnsi"/>
                <w:color w:val="000000"/>
                <w:lang w:eastAsia="en-GB"/>
              </w:rPr>
              <w:t>Denny &amp; Bonnybridge</w:t>
            </w:r>
          </w:p>
        </w:tc>
        <w:tc>
          <w:tcPr>
            <w:tcW w:w="992" w:type="dxa"/>
            <w:vAlign w:val="bottom"/>
          </w:tcPr>
          <w:p w14:paraId="21B162BB" w14:textId="7A4B54C1" w:rsidR="00387E87" w:rsidRDefault="00387E87" w:rsidP="001E2C3C">
            <w:pPr>
              <w:jc w:val="center"/>
            </w:pPr>
            <w:r>
              <w:rPr>
                <w:rFonts w:ascii="Calibri" w:hAnsi="Calibri" w:cs="Calibri"/>
                <w:color w:val="000000"/>
              </w:rPr>
              <w:t>66</w:t>
            </w:r>
          </w:p>
        </w:tc>
        <w:tc>
          <w:tcPr>
            <w:tcW w:w="1418" w:type="dxa"/>
            <w:vAlign w:val="bottom"/>
          </w:tcPr>
          <w:p w14:paraId="2D2560BF" w14:textId="36FF7496" w:rsidR="00387E87" w:rsidRDefault="00387E87" w:rsidP="001E2C3C">
            <w:pPr>
              <w:jc w:val="center"/>
            </w:pPr>
            <w:r>
              <w:rPr>
                <w:rFonts w:ascii="Calibri" w:hAnsi="Calibri" w:cs="Calibri"/>
                <w:color w:val="000000"/>
              </w:rPr>
              <w:t>26%</w:t>
            </w:r>
          </w:p>
        </w:tc>
        <w:tc>
          <w:tcPr>
            <w:tcW w:w="1417" w:type="dxa"/>
            <w:vAlign w:val="bottom"/>
          </w:tcPr>
          <w:p w14:paraId="0DFD5DCD" w14:textId="01287DBB" w:rsidR="00387E87" w:rsidRDefault="00387E87" w:rsidP="001E2C3C">
            <w:pPr>
              <w:jc w:val="center"/>
            </w:pPr>
            <w:r>
              <w:rPr>
                <w:rFonts w:ascii="Calibri" w:hAnsi="Calibri" w:cs="Calibri"/>
                <w:color w:val="000000"/>
              </w:rPr>
              <w:t>1.12%</w:t>
            </w:r>
          </w:p>
        </w:tc>
      </w:tr>
      <w:tr w:rsidR="00387E87" w14:paraId="4923A855" w14:textId="77777777" w:rsidTr="001E2C3C">
        <w:tc>
          <w:tcPr>
            <w:tcW w:w="4673" w:type="dxa"/>
            <w:vAlign w:val="bottom"/>
          </w:tcPr>
          <w:p w14:paraId="57ACA8BE" w14:textId="096C1D3E" w:rsidR="00387E87" w:rsidRDefault="00387E87" w:rsidP="00387E87">
            <w:r w:rsidRPr="00FB1B89">
              <w:rPr>
                <w:rFonts w:eastAsia="Times New Roman" w:cstheme="minorHAnsi"/>
                <w:color w:val="000000"/>
                <w:lang w:eastAsia="en-GB"/>
              </w:rPr>
              <w:t>Falkirk</w:t>
            </w:r>
          </w:p>
        </w:tc>
        <w:tc>
          <w:tcPr>
            <w:tcW w:w="992" w:type="dxa"/>
            <w:vAlign w:val="bottom"/>
          </w:tcPr>
          <w:p w14:paraId="15D2661B" w14:textId="13AA90BE" w:rsidR="00387E87" w:rsidRDefault="00387E87" w:rsidP="001E2C3C">
            <w:pPr>
              <w:jc w:val="center"/>
            </w:pPr>
            <w:r>
              <w:rPr>
                <w:rFonts w:ascii="Calibri" w:hAnsi="Calibri" w:cs="Calibri"/>
                <w:color w:val="000000"/>
              </w:rPr>
              <w:t>51</w:t>
            </w:r>
          </w:p>
        </w:tc>
        <w:tc>
          <w:tcPr>
            <w:tcW w:w="1418" w:type="dxa"/>
            <w:vAlign w:val="bottom"/>
          </w:tcPr>
          <w:p w14:paraId="43A3CE8F" w14:textId="117F975D" w:rsidR="00387E87" w:rsidRDefault="00387E87" w:rsidP="001E2C3C">
            <w:pPr>
              <w:jc w:val="center"/>
            </w:pPr>
            <w:r>
              <w:rPr>
                <w:rFonts w:ascii="Calibri" w:hAnsi="Calibri" w:cs="Calibri"/>
                <w:color w:val="000000"/>
              </w:rPr>
              <w:t>20%</w:t>
            </w:r>
          </w:p>
        </w:tc>
        <w:tc>
          <w:tcPr>
            <w:tcW w:w="1417" w:type="dxa"/>
            <w:vAlign w:val="bottom"/>
          </w:tcPr>
          <w:p w14:paraId="7E3818FD" w14:textId="66DE8DCE" w:rsidR="00387E87" w:rsidRDefault="00387E87" w:rsidP="001E2C3C">
            <w:pPr>
              <w:jc w:val="center"/>
            </w:pPr>
            <w:r>
              <w:rPr>
                <w:rFonts w:ascii="Calibri" w:hAnsi="Calibri" w:cs="Calibri"/>
                <w:color w:val="000000"/>
              </w:rPr>
              <w:t>0.86%</w:t>
            </w:r>
          </w:p>
        </w:tc>
      </w:tr>
      <w:tr w:rsidR="00387E87" w14:paraId="4BA32598" w14:textId="77777777" w:rsidTr="001E2C3C">
        <w:tc>
          <w:tcPr>
            <w:tcW w:w="4673" w:type="dxa"/>
            <w:vAlign w:val="bottom"/>
          </w:tcPr>
          <w:p w14:paraId="43499850" w14:textId="4CE62264" w:rsidR="00387E87" w:rsidRPr="00FB1B89" w:rsidRDefault="00387E87" w:rsidP="00387E87">
            <w:pPr>
              <w:rPr>
                <w:rFonts w:eastAsia="Times New Roman" w:cstheme="minorHAnsi"/>
                <w:color w:val="000000"/>
                <w:lang w:eastAsia="en-GB"/>
              </w:rPr>
            </w:pPr>
            <w:r w:rsidRPr="00FB1B89">
              <w:rPr>
                <w:rFonts w:eastAsia="Times New Roman" w:cstheme="minorHAnsi"/>
                <w:color w:val="000000"/>
                <w:lang w:eastAsia="en-GB"/>
              </w:rPr>
              <w:t>Grangemouth</w:t>
            </w:r>
          </w:p>
        </w:tc>
        <w:tc>
          <w:tcPr>
            <w:tcW w:w="992" w:type="dxa"/>
            <w:vAlign w:val="bottom"/>
          </w:tcPr>
          <w:p w14:paraId="79651D96" w14:textId="33C23EEE" w:rsidR="00387E87" w:rsidRDefault="00387E87" w:rsidP="001E2C3C">
            <w:pPr>
              <w:jc w:val="center"/>
              <w:rPr>
                <w:rFonts w:ascii="Calibri" w:hAnsi="Calibri" w:cs="Calibri"/>
                <w:color w:val="000000"/>
              </w:rPr>
            </w:pPr>
            <w:r>
              <w:rPr>
                <w:rFonts w:ascii="Calibri" w:hAnsi="Calibri" w:cs="Calibri"/>
                <w:color w:val="000000"/>
              </w:rPr>
              <w:t>8</w:t>
            </w:r>
          </w:p>
        </w:tc>
        <w:tc>
          <w:tcPr>
            <w:tcW w:w="1418" w:type="dxa"/>
            <w:vAlign w:val="bottom"/>
          </w:tcPr>
          <w:p w14:paraId="372CEC3E" w14:textId="3DF4F9D1" w:rsidR="00387E87" w:rsidRDefault="00387E87" w:rsidP="001E2C3C">
            <w:pPr>
              <w:jc w:val="center"/>
              <w:rPr>
                <w:rFonts w:ascii="Calibri" w:hAnsi="Calibri" w:cs="Calibri"/>
                <w:color w:val="000000"/>
              </w:rPr>
            </w:pPr>
            <w:r>
              <w:rPr>
                <w:rFonts w:ascii="Calibri" w:hAnsi="Calibri" w:cs="Calibri"/>
                <w:color w:val="000000"/>
              </w:rPr>
              <w:t>3%</w:t>
            </w:r>
          </w:p>
        </w:tc>
        <w:tc>
          <w:tcPr>
            <w:tcW w:w="1417" w:type="dxa"/>
            <w:vAlign w:val="bottom"/>
          </w:tcPr>
          <w:p w14:paraId="516FDDF7" w14:textId="7A209A18" w:rsidR="00387E87" w:rsidRDefault="00387E87" w:rsidP="001E2C3C">
            <w:pPr>
              <w:jc w:val="center"/>
              <w:rPr>
                <w:rFonts w:ascii="Calibri" w:hAnsi="Calibri" w:cs="Calibri"/>
                <w:color w:val="000000"/>
              </w:rPr>
            </w:pPr>
            <w:r>
              <w:rPr>
                <w:rFonts w:ascii="Calibri" w:hAnsi="Calibri" w:cs="Calibri"/>
                <w:color w:val="000000"/>
              </w:rPr>
              <w:t>0.14%</w:t>
            </w:r>
          </w:p>
        </w:tc>
      </w:tr>
      <w:tr w:rsidR="00387E87" w14:paraId="292B6B66" w14:textId="77777777" w:rsidTr="001E2C3C">
        <w:tc>
          <w:tcPr>
            <w:tcW w:w="4673" w:type="dxa"/>
            <w:vAlign w:val="bottom"/>
          </w:tcPr>
          <w:p w14:paraId="4497C7FD" w14:textId="01C3EA38" w:rsidR="00387E87" w:rsidRPr="00FB1B89" w:rsidRDefault="00387E87" w:rsidP="00387E87">
            <w:pPr>
              <w:rPr>
                <w:rFonts w:eastAsia="Times New Roman" w:cstheme="minorHAnsi"/>
                <w:color w:val="000000"/>
                <w:lang w:eastAsia="en-GB"/>
              </w:rPr>
            </w:pPr>
            <w:r>
              <w:rPr>
                <w:rFonts w:eastAsia="Times New Roman" w:cstheme="minorHAnsi"/>
                <w:color w:val="000000"/>
                <w:lang w:eastAsia="en-GB"/>
              </w:rPr>
              <w:t>Braes</w:t>
            </w:r>
            <w:r w:rsidRPr="00FB1B89">
              <w:rPr>
                <w:rFonts w:eastAsia="Times New Roman" w:cstheme="minorHAnsi"/>
                <w:color w:val="000000"/>
                <w:lang w:eastAsia="en-GB"/>
              </w:rPr>
              <w:t xml:space="preserve"> &amp; Rural South</w:t>
            </w:r>
          </w:p>
        </w:tc>
        <w:tc>
          <w:tcPr>
            <w:tcW w:w="992" w:type="dxa"/>
            <w:vAlign w:val="bottom"/>
          </w:tcPr>
          <w:p w14:paraId="0DE00529" w14:textId="53FD28BB" w:rsidR="00387E87" w:rsidRDefault="00387E87" w:rsidP="001E2C3C">
            <w:pPr>
              <w:jc w:val="center"/>
              <w:rPr>
                <w:rFonts w:ascii="Calibri" w:hAnsi="Calibri" w:cs="Calibri"/>
                <w:color w:val="000000"/>
              </w:rPr>
            </w:pPr>
            <w:r>
              <w:rPr>
                <w:rFonts w:ascii="Calibri" w:hAnsi="Calibri" w:cs="Calibri"/>
                <w:color w:val="000000"/>
              </w:rPr>
              <w:t>36</w:t>
            </w:r>
          </w:p>
        </w:tc>
        <w:tc>
          <w:tcPr>
            <w:tcW w:w="1418" w:type="dxa"/>
            <w:vAlign w:val="bottom"/>
          </w:tcPr>
          <w:p w14:paraId="6632BDF9" w14:textId="3210653B" w:rsidR="00387E87" w:rsidRDefault="00387E87" w:rsidP="001E2C3C">
            <w:pPr>
              <w:jc w:val="center"/>
              <w:rPr>
                <w:rFonts w:ascii="Calibri" w:hAnsi="Calibri" w:cs="Calibri"/>
                <w:color w:val="000000"/>
              </w:rPr>
            </w:pPr>
            <w:r>
              <w:rPr>
                <w:rFonts w:ascii="Calibri" w:hAnsi="Calibri" w:cs="Calibri"/>
                <w:color w:val="000000"/>
              </w:rPr>
              <w:t>14%</w:t>
            </w:r>
          </w:p>
        </w:tc>
        <w:tc>
          <w:tcPr>
            <w:tcW w:w="1417" w:type="dxa"/>
            <w:vAlign w:val="bottom"/>
          </w:tcPr>
          <w:p w14:paraId="43AEEF9E" w14:textId="3A084401" w:rsidR="00387E87" w:rsidRDefault="00387E87" w:rsidP="001E2C3C">
            <w:pPr>
              <w:jc w:val="center"/>
              <w:rPr>
                <w:rFonts w:ascii="Calibri" w:hAnsi="Calibri" w:cs="Calibri"/>
                <w:color w:val="000000"/>
              </w:rPr>
            </w:pPr>
            <w:r>
              <w:rPr>
                <w:rFonts w:ascii="Calibri" w:hAnsi="Calibri" w:cs="Calibri"/>
                <w:color w:val="000000"/>
              </w:rPr>
              <w:t>0.61%</w:t>
            </w:r>
          </w:p>
        </w:tc>
      </w:tr>
      <w:tr w:rsidR="00387E87" w14:paraId="6B3330CA" w14:textId="77777777" w:rsidTr="001E2C3C">
        <w:tc>
          <w:tcPr>
            <w:tcW w:w="4673" w:type="dxa"/>
            <w:vAlign w:val="bottom"/>
          </w:tcPr>
          <w:p w14:paraId="0F7CC19C" w14:textId="25E39511" w:rsidR="00387E87" w:rsidRDefault="00387E87" w:rsidP="00387E87">
            <w:pPr>
              <w:rPr>
                <w:rFonts w:eastAsia="Times New Roman" w:cstheme="minorHAnsi"/>
                <w:color w:val="000000"/>
                <w:lang w:eastAsia="en-GB"/>
              </w:rPr>
            </w:pPr>
            <w:r w:rsidRPr="00FB1B89">
              <w:rPr>
                <w:rFonts w:eastAsia="Times New Roman" w:cstheme="minorHAnsi"/>
                <w:color w:val="000000"/>
                <w:lang w:eastAsia="en-GB"/>
              </w:rPr>
              <w:t>Stenhousemuir Larbert &amp; Rural North</w:t>
            </w:r>
          </w:p>
        </w:tc>
        <w:tc>
          <w:tcPr>
            <w:tcW w:w="992" w:type="dxa"/>
            <w:vAlign w:val="bottom"/>
          </w:tcPr>
          <w:p w14:paraId="401C42AE" w14:textId="26DA855E" w:rsidR="00387E87" w:rsidRDefault="00387E87" w:rsidP="001E2C3C">
            <w:pPr>
              <w:jc w:val="center"/>
              <w:rPr>
                <w:rFonts w:ascii="Calibri" w:hAnsi="Calibri" w:cs="Calibri"/>
                <w:color w:val="000000"/>
              </w:rPr>
            </w:pPr>
            <w:r>
              <w:rPr>
                <w:rFonts w:ascii="Calibri" w:hAnsi="Calibri" w:cs="Calibri"/>
                <w:color w:val="000000"/>
              </w:rPr>
              <w:t>84</w:t>
            </w:r>
          </w:p>
        </w:tc>
        <w:tc>
          <w:tcPr>
            <w:tcW w:w="1418" w:type="dxa"/>
            <w:vAlign w:val="bottom"/>
          </w:tcPr>
          <w:p w14:paraId="1736F238" w14:textId="283B38F9" w:rsidR="00387E87" w:rsidRDefault="00387E87" w:rsidP="001E2C3C">
            <w:pPr>
              <w:jc w:val="center"/>
              <w:rPr>
                <w:rFonts w:ascii="Calibri" w:hAnsi="Calibri" w:cs="Calibri"/>
                <w:color w:val="000000"/>
              </w:rPr>
            </w:pPr>
            <w:r>
              <w:rPr>
                <w:rFonts w:ascii="Calibri" w:hAnsi="Calibri" w:cs="Calibri"/>
                <w:color w:val="000000"/>
              </w:rPr>
              <w:t>33%</w:t>
            </w:r>
          </w:p>
        </w:tc>
        <w:tc>
          <w:tcPr>
            <w:tcW w:w="1417" w:type="dxa"/>
            <w:vAlign w:val="bottom"/>
          </w:tcPr>
          <w:p w14:paraId="31F6FC20" w14:textId="0305696D" w:rsidR="00387E87" w:rsidRDefault="00387E87" w:rsidP="001E2C3C">
            <w:pPr>
              <w:jc w:val="center"/>
              <w:rPr>
                <w:rFonts w:ascii="Calibri" w:hAnsi="Calibri" w:cs="Calibri"/>
                <w:color w:val="000000"/>
              </w:rPr>
            </w:pPr>
            <w:r>
              <w:rPr>
                <w:rFonts w:ascii="Calibri" w:hAnsi="Calibri" w:cs="Calibri"/>
                <w:color w:val="000000"/>
              </w:rPr>
              <w:t>1.42%</w:t>
            </w:r>
          </w:p>
        </w:tc>
      </w:tr>
      <w:tr w:rsidR="00387E87" w14:paraId="59E2E020" w14:textId="77777777" w:rsidTr="001E2C3C">
        <w:tc>
          <w:tcPr>
            <w:tcW w:w="4673" w:type="dxa"/>
            <w:vAlign w:val="bottom"/>
          </w:tcPr>
          <w:p w14:paraId="6202E00D" w14:textId="6FBD1AE4" w:rsidR="00387E87" w:rsidRPr="00FB1B89" w:rsidRDefault="00387E87" w:rsidP="00387E87">
            <w:pPr>
              <w:rPr>
                <w:rFonts w:eastAsia="Times New Roman" w:cstheme="minorHAnsi"/>
                <w:color w:val="000000"/>
                <w:lang w:eastAsia="en-GB"/>
              </w:rPr>
            </w:pPr>
            <w:r w:rsidRPr="00FB1B89">
              <w:rPr>
                <w:rFonts w:eastAsia="Times New Roman" w:cstheme="minorHAnsi"/>
                <w:b/>
                <w:bCs/>
                <w:color w:val="000000"/>
                <w:lang w:eastAsia="en-GB"/>
              </w:rPr>
              <w:t>Total</w:t>
            </w:r>
          </w:p>
        </w:tc>
        <w:tc>
          <w:tcPr>
            <w:tcW w:w="992" w:type="dxa"/>
            <w:vAlign w:val="bottom"/>
          </w:tcPr>
          <w:p w14:paraId="235A3A80" w14:textId="44BD92EA" w:rsidR="00387E87" w:rsidRDefault="00387E87" w:rsidP="001E2C3C">
            <w:pPr>
              <w:jc w:val="center"/>
              <w:rPr>
                <w:rFonts w:ascii="Calibri" w:hAnsi="Calibri" w:cs="Calibri"/>
                <w:color w:val="000000"/>
              </w:rPr>
            </w:pPr>
            <w:r>
              <w:rPr>
                <w:rFonts w:ascii="Calibri" w:hAnsi="Calibri" w:cs="Calibri"/>
                <w:b/>
                <w:bCs/>
                <w:color w:val="000000"/>
              </w:rPr>
              <w:t>254</w:t>
            </w:r>
          </w:p>
        </w:tc>
        <w:tc>
          <w:tcPr>
            <w:tcW w:w="1418" w:type="dxa"/>
            <w:vAlign w:val="bottom"/>
          </w:tcPr>
          <w:p w14:paraId="578309EE" w14:textId="37B9FF0A" w:rsidR="00387E87" w:rsidRDefault="00387E87" w:rsidP="001E2C3C">
            <w:pPr>
              <w:jc w:val="center"/>
              <w:rPr>
                <w:rFonts w:ascii="Calibri" w:hAnsi="Calibri" w:cs="Calibri"/>
                <w:color w:val="000000"/>
              </w:rPr>
            </w:pPr>
            <w:r>
              <w:rPr>
                <w:rFonts w:ascii="Calibri" w:hAnsi="Calibri" w:cs="Calibri"/>
                <w:b/>
                <w:bCs/>
                <w:color w:val="000000"/>
              </w:rPr>
              <w:t>100%</w:t>
            </w:r>
          </w:p>
        </w:tc>
        <w:tc>
          <w:tcPr>
            <w:tcW w:w="1417" w:type="dxa"/>
            <w:vAlign w:val="bottom"/>
          </w:tcPr>
          <w:p w14:paraId="5920C999" w14:textId="7579E8EA" w:rsidR="00387E87" w:rsidRDefault="00387E87" w:rsidP="001E2C3C">
            <w:pPr>
              <w:jc w:val="center"/>
              <w:rPr>
                <w:rFonts w:ascii="Calibri" w:hAnsi="Calibri" w:cs="Calibri"/>
                <w:color w:val="000000"/>
              </w:rPr>
            </w:pPr>
            <w:r>
              <w:rPr>
                <w:rFonts w:ascii="Calibri" w:hAnsi="Calibri" w:cs="Calibri"/>
                <w:b/>
                <w:bCs/>
                <w:color w:val="000000"/>
              </w:rPr>
              <w:t>4.29%</w:t>
            </w:r>
          </w:p>
        </w:tc>
      </w:tr>
    </w:tbl>
    <w:p w14:paraId="5F070113" w14:textId="0E8E15B9" w:rsidR="00387E87" w:rsidRDefault="00387E87" w:rsidP="00387E87">
      <w:pPr>
        <w:rPr>
          <w:rFonts w:cstheme="minorHAnsi"/>
          <w:sz w:val="18"/>
          <w:szCs w:val="18"/>
        </w:rPr>
      </w:pPr>
      <w:r w:rsidRPr="00A35003">
        <w:rPr>
          <w:rFonts w:cstheme="minorHAnsi"/>
          <w:sz w:val="18"/>
          <w:szCs w:val="18"/>
        </w:rPr>
        <w:t>Source: Registers of Scotland with further processing by Scottish Government</w:t>
      </w:r>
    </w:p>
    <w:p w14:paraId="06FCBE15" w14:textId="77777777" w:rsidR="00642545" w:rsidRPr="001E2C3C" w:rsidRDefault="00642545" w:rsidP="00642545">
      <w:pPr>
        <w:pStyle w:val="Heading3"/>
        <w:rPr>
          <w:b/>
          <w:bCs/>
          <w:color w:val="auto"/>
        </w:rPr>
      </w:pPr>
      <w:r w:rsidRPr="001E2C3C">
        <w:rPr>
          <w:b/>
          <w:bCs/>
          <w:color w:val="auto"/>
        </w:rPr>
        <w:t>North Lanarkshire</w:t>
      </w:r>
    </w:p>
    <w:p w14:paraId="2914F031" w14:textId="77777777" w:rsidR="00642545" w:rsidRDefault="00642545" w:rsidP="00642545">
      <w:pPr>
        <w:rPr>
          <w:rFonts w:cstheme="minorHAnsi"/>
        </w:rPr>
      </w:pPr>
      <w:r w:rsidRPr="007056A5">
        <w:rPr>
          <w:rFonts w:cstheme="minorHAnsi"/>
        </w:rPr>
        <w:t xml:space="preserve">There were 13,330 sales made in North Lanarkshire between 2014 and 2017. </w:t>
      </w:r>
      <w:r>
        <w:rPr>
          <w:rFonts w:cstheme="minorHAnsi"/>
        </w:rPr>
        <w:t xml:space="preserve">A total of 1.23% of sales came from the Falkirk area, this is lower than the 1.4% when analysis was undertaken for the last HNDA. </w:t>
      </w:r>
      <w:r w:rsidRPr="007056A5">
        <w:rPr>
          <w:rFonts w:cstheme="minorHAnsi"/>
        </w:rPr>
        <w:t xml:space="preserve">When the sales with Falkirk Council as the origin were looked at the majority at 49% came from Denny &amp; Bonnybridge. </w:t>
      </w:r>
    </w:p>
    <w:p w14:paraId="234F42FF" w14:textId="394B1B03" w:rsidR="00642545" w:rsidRPr="001E2C3C" w:rsidRDefault="00642545" w:rsidP="00642545">
      <w:pPr>
        <w:pStyle w:val="Heading4"/>
        <w:rPr>
          <w:b/>
          <w:bCs/>
          <w:i w:val="0"/>
          <w:iCs w:val="0"/>
          <w:color w:val="auto"/>
        </w:rPr>
      </w:pPr>
      <w:r w:rsidRPr="001E2C3C">
        <w:rPr>
          <w:b/>
          <w:bCs/>
          <w:i w:val="0"/>
          <w:iCs w:val="0"/>
          <w:color w:val="auto"/>
        </w:rPr>
        <w:t>Table 6: House Sales in North Lanarkshire originating from Falkirk 2014-2017</w:t>
      </w:r>
    </w:p>
    <w:tbl>
      <w:tblPr>
        <w:tblStyle w:val="TableGrid"/>
        <w:tblW w:w="0" w:type="auto"/>
        <w:tblLook w:val="04A0" w:firstRow="1" w:lastRow="0" w:firstColumn="1" w:lastColumn="0" w:noHBand="0" w:noVBand="1"/>
      </w:tblPr>
      <w:tblGrid>
        <w:gridCol w:w="2254"/>
        <w:gridCol w:w="2254"/>
        <w:gridCol w:w="2254"/>
        <w:gridCol w:w="2254"/>
      </w:tblGrid>
      <w:tr w:rsidR="00642545" w14:paraId="3A3FC364" w14:textId="77777777" w:rsidTr="00642545">
        <w:tc>
          <w:tcPr>
            <w:tcW w:w="2254" w:type="dxa"/>
          </w:tcPr>
          <w:p w14:paraId="3B034F60" w14:textId="48EC687E" w:rsidR="00642545" w:rsidRDefault="00642545" w:rsidP="00642545">
            <w:r w:rsidRPr="00FB1B89">
              <w:rPr>
                <w:rFonts w:eastAsia="Times New Roman" w:cstheme="minorHAnsi"/>
                <w:b/>
                <w:bCs/>
                <w:color w:val="000000"/>
                <w:lang w:eastAsia="en-GB"/>
              </w:rPr>
              <w:t>Housing Market Area</w:t>
            </w:r>
          </w:p>
        </w:tc>
        <w:tc>
          <w:tcPr>
            <w:tcW w:w="2254" w:type="dxa"/>
          </w:tcPr>
          <w:p w14:paraId="0908F02B" w14:textId="30719273" w:rsidR="00642545" w:rsidRDefault="00642545" w:rsidP="00642545">
            <w:r w:rsidRPr="00FB1B89">
              <w:rPr>
                <w:rFonts w:eastAsia="Times New Roman" w:cstheme="minorHAnsi"/>
                <w:b/>
                <w:bCs/>
                <w:color w:val="000000"/>
                <w:lang w:eastAsia="en-GB"/>
              </w:rPr>
              <w:t>201</w:t>
            </w:r>
            <w:r>
              <w:rPr>
                <w:rFonts w:eastAsia="Times New Roman" w:cstheme="minorHAnsi"/>
                <w:b/>
                <w:bCs/>
                <w:color w:val="000000"/>
                <w:lang w:eastAsia="en-GB"/>
              </w:rPr>
              <w:t>4</w:t>
            </w:r>
            <w:r w:rsidRPr="00FB1B89">
              <w:rPr>
                <w:rFonts w:eastAsia="Times New Roman" w:cstheme="minorHAnsi"/>
                <w:b/>
                <w:bCs/>
                <w:color w:val="000000"/>
                <w:lang w:eastAsia="en-GB"/>
              </w:rPr>
              <w:t>-201</w:t>
            </w:r>
            <w:r>
              <w:rPr>
                <w:rFonts w:eastAsia="Times New Roman" w:cstheme="minorHAnsi"/>
                <w:b/>
                <w:bCs/>
                <w:color w:val="000000"/>
                <w:lang w:eastAsia="en-GB"/>
              </w:rPr>
              <w:t>7</w:t>
            </w:r>
          </w:p>
        </w:tc>
        <w:tc>
          <w:tcPr>
            <w:tcW w:w="2254" w:type="dxa"/>
          </w:tcPr>
          <w:p w14:paraId="36F25061" w14:textId="100C161B" w:rsidR="00642545" w:rsidRDefault="00642545" w:rsidP="00642545">
            <w:r w:rsidRPr="00FB1B89">
              <w:rPr>
                <w:rFonts w:eastAsia="Times New Roman" w:cstheme="minorHAnsi"/>
                <w:b/>
                <w:bCs/>
                <w:color w:val="000000"/>
                <w:lang w:eastAsia="en-GB"/>
              </w:rPr>
              <w:t>% of all sales from Falkirk</w:t>
            </w:r>
          </w:p>
        </w:tc>
        <w:tc>
          <w:tcPr>
            <w:tcW w:w="2254" w:type="dxa"/>
          </w:tcPr>
          <w:p w14:paraId="090259E8" w14:textId="3AB8B27F" w:rsidR="00642545" w:rsidRDefault="00642545" w:rsidP="00642545">
            <w:r w:rsidRPr="00FB1B89">
              <w:rPr>
                <w:rFonts w:eastAsia="Times New Roman" w:cstheme="minorHAnsi"/>
                <w:b/>
                <w:bCs/>
                <w:color w:val="000000"/>
                <w:lang w:eastAsia="en-GB"/>
              </w:rPr>
              <w:t xml:space="preserve">% of all sales in </w:t>
            </w:r>
            <w:r>
              <w:rPr>
                <w:rFonts w:eastAsia="Times New Roman" w:cstheme="minorHAnsi"/>
                <w:b/>
                <w:bCs/>
                <w:color w:val="000000"/>
                <w:lang w:eastAsia="en-GB"/>
              </w:rPr>
              <w:t>North Lanarkshire</w:t>
            </w:r>
          </w:p>
        </w:tc>
      </w:tr>
      <w:tr w:rsidR="00642545" w14:paraId="38B8514D" w14:textId="77777777" w:rsidTr="00F13603">
        <w:tc>
          <w:tcPr>
            <w:tcW w:w="2254" w:type="dxa"/>
            <w:vAlign w:val="bottom"/>
          </w:tcPr>
          <w:p w14:paraId="3B37B051" w14:textId="5677F3D0" w:rsidR="00642545" w:rsidRDefault="00642545" w:rsidP="00642545">
            <w:r w:rsidRPr="00FB1B89">
              <w:rPr>
                <w:rFonts w:eastAsia="Times New Roman" w:cstheme="minorHAnsi"/>
                <w:color w:val="000000"/>
                <w:lang w:eastAsia="en-GB"/>
              </w:rPr>
              <w:t>Bo'ness</w:t>
            </w:r>
          </w:p>
        </w:tc>
        <w:tc>
          <w:tcPr>
            <w:tcW w:w="2254" w:type="dxa"/>
            <w:vAlign w:val="bottom"/>
          </w:tcPr>
          <w:p w14:paraId="6273D6DC" w14:textId="52D14F53" w:rsidR="00642545" w:rsidRDefault="00642545" w:rsidP="00642545">
            <w:r>
              <w:rPr>
                <w:rFonts w:ascii="Calibri" w:hAnsi="Calibri" w:cs="Calibri"/>
                <w:color w:val="000000"/>
              </w:rPr>
              <w:t>8</w:t>
            </w:r>
          </w:p>
        </w:tc>
        <w:tc>
          <w:tcPr>
            <w:tcW w:w="2254" w:type="dxa"/>
            <w:vAlign w:val="bottom"/>
          </w:tcPr>
          <w:p w14:paraId="1106A20C" w14:textId="42DCF80C" w:rsidR="00642545" w:rsidRDefault="00642545" w:rsidP="00642545">
            <w:r>
              <w:rPr>
                <w:rFonts w:ascii="Calibri" w:hAnsi="Calibri" w:cs="Calibri"/>
                <w:color w:val="000000"/>
              </w:rPr>
              <w:t>5%</w:t>
            </w:r>
          </w:p>
        </w:tc>
        <w:tc>
          <w:tcPr>
            <w:tcW w:w="2254" w:type="dxa"/>
            <w:vAlign w:val="bottom"/>
          </w:tcPr>
          <w:p w14:paraId="46835DF5" w14:textId="3224B67B" w:rsidR="00642545" w:rsidRDefault="00642545" w:rsidP="00642545">
            <w:r>
              <w:rPr>
                <w:rFonts w:ascii="Calibri" w:hAnsi="Calibri" w:cs="Calibri"/>
                <w:color w:val="000000"/>
              </w:rPr>
              <w:t>0.06%</w:t>
            </w:r>
          </w:p>
        </w:tc>
      </w:tr>
      <w:tr w:rsidR="00642545" w14:paraId="6D47F6A3" w14:textId="77777777" w:rsidTr="00F13603">
        <w:tc>
          <w:tcPr>
            <w:tcW w:w="2254" w:type="dxa"/>
            <w:vAlign w:val="bottom"/>
          </w:tcPr>
          <w:p w14:paraId="1213D3E3" w14:textId="45796985" w:rsidR="00642545" w:rsidRDefault="00642545" w:rsidP="00642545">
            <w:r w:rsidRPr="00FB1B89">
              <w:rPr>
                <w:rFonts w:eastAsia="Times New Roman" w:cstheme="minorHAnsi"/>
                <w:color w:val="000000"/>
                <w:lang w:eastAsia="en-GB"/>
              </w:rPr>
              <w:t>Denny &amp; Bonnybridge</w:t>
            </w:r>
          </w:p>
        </w:tc>
        <w:tc>
          <w:tcPr>
            <w:tcW w:w="2254" w:type="dxa"/>
            <w:vAlign w:val="bottom"/>
          </w:tcPr>
          <w:p w14:paraId="1DB467EF" w14:textId="5DD1EF2D" w:rsidR="00642545" w:rsidRDefault="00642545" w:rsidP="00642545">
            <w:r>
              <w:rPr>
                <w:rFonts w:ascii="Calibri" w:hAnsi="Calibri" w:cs="Calibri"/>
                <w:color w:val="000000"/>
              </w:rPr>
              <w:t>81</w:t>
            </w:r>
          </w:p>
        </w:tc>
        <w:tc>
          <w:tcPr>
            <w:tcW w:w="2254" w:type="dxa"/>
            <w:vAlign w:val="bottom"/>
          </w:tcPr>
          <w:p w14:paraId="2D0405B4" w14:textId="59D185B6" w:rsidR="00642545" w:rsidRDefault="00642545" w:rsidP="00642545">
            <w:r>
              <w:rPr>
                <w:rFonts w:ascii="Calibri" w:hAnsi="Calibri" w:cs="Calibri"/>
                <w:color w:val="000000"/>
              </w:rPr>
              <w:t>49%</w:t>
            </w:r>
          </w:p>
        </w:tc>
        <w:tc>
          <w:tcPr>
            <w:tcW w:w="2254" w:type="dxa"/>
            <w:vAlign w:val="bottom"/>
          </w:tcPr>
          <w:p w14:paraId="0E5BA7FB" w14:textId="56037454" w:rsidR="00642545" w:rsidRDefault="00642545" w:rsidP="00642545">
            <w:r>
              <w:rPr>
                <w:rFonts w:ascii="Calibri" w:hAnsi="Calibri" w:cs="Calibri"/>
                <w:color w:val="000000"/>
              </w:rPr>
              <w:t>0.61%</w:t>
            </w:r>
          </w:p>
        </w:tc>
      </w:tr>
      <w:tr w:rsidR="00642545" w14:paraId="5A8023B1" w14:textId="77777777" w:rsidTr="00F13603">
        <w:tc>
          <w:tcPr>
            <w:tcW w:w="2254" w:type="dxa"/>
            <w:vAlign w:val="bottom"/>
          </w:tcPr>
          <w:p w14:paraId="7CCDBCBA" w14:textId="5D9292DB" w:rsidR="00642545" w:rsidRDefault="00642545" w:rsidP="00642545">
            <w:r w:rsidRPr="00FB1B89">
              <w:rPr>
                <w:rFonts w:eastAsia="Times New Roman" w:cstheme="minorHAnsi"/>
                <w:color w:val="000000"/>
                <w:lang w:eastAsia="en-GB"/>
              </w:rPr>
              <w:t>Falkirk</w:t>
            </w:r>
          </w:p>
        </w:tc>
        <w:tc>
          <w:tcPr>
            <w:tcW w:w="2254" w:type="dxa"/>
            <w:vAlign w:val="bottom"/>
          </w:tcPr>
          <w:p w14:paraId="7BCE32F6" w14:textId="5B18BB51" w:rsidR="00642545" w:rsidRDefault="00642545" w:rsidP="00642545">
            <w:r>
              <w:rPr>
                <w:rFonts w:ascii="Calibri" w:hAnsi="Calibri" w:cs="Calibri"/>
                <w:color w:val="000000"/>
              </w:rPr>
              <w:t>24</w:t>
            </w:r>
          </w:p>
        </w:tc>
        <w:tc>
          <w:tcPr>
            <w:tcW w:w="2254" w:type="dxa"/>
            <w:vAlign w:val="bottom"/>
          </w:tcPr>
          <w:p w14:paraId="30861043" w14:textId="5ED6F182" w:rsidR="00642545" w:rsidRDefault="00642545" w:rsidP="00642545">
            <w:r>
              <w:rPr>
                <w:rFonts w:ascii="Calibri" w:hAnsi="Calibri" w:cs="Calibri"/>
                <w:color w:val="000000"/>
              </w:rPr>
              <w:t>15%</w:t>
            </w:r>
          </w:p>
        </w:tc>
        <w:tc>
          <w:tcPr>
            <w:tcW w:w="2254" w:type="dxa"/>
            <w:vAlign w:val="bottom"/>
          </w:tcPr>
          <w:p w14:paraId="222AAEC9" w14:textId="76FBF552" w:rsidR="00642545" w:rsidRDefault="00642545" w:rsidP="00642545">
            <w:r>
              <w:rPr>
                <w:rFonts w:ascii="Calibri" w:hAnsi="Calibri" w:cs="Calibri"/>
                <w:color w:val="000000"/>
              </w:rPr>
              <w:t>0.18%</w:t>
            </w:r>
          </w:p>
        </w:tc>
      </w:tr>
      <w:tr w:rsidR="00642545" w14:paraId="3D5547E5" w14:textId="77777777" w:rsidTr="00F13603">
        <w:tc>
          <w:tcPr>
            <w:tcW w:w="2254" w:type="dxa"/>
            <w:vAlign w:val="bottom"/>
          </w:tcPr>
          <w:p w14:paraId="2919F5A5" w14:textId="0BB3E7A6" w:rsidR="00642545" w:rsidRPr="00FB1B89" w:rsidRDefault="00642545" w:rsidP="00642545">
            <w:pPr>
              <w:rPr>
                <w:rFonts w:eastAsia="Times New Roman" w:cstheme="minorHAnsi"/>
                <w:color w:val="000000"/>
                <w:lang w:eastAsia="en-GB"/>
              </w:rPr>
            </w:pPr>
            <w:r w:rsidRPr="00FB1B89">
              <w:rPr>
                <w:rFonts w:eastAsia="Times New Roman" w:cstheme="minorHAnsi"/>
                <w:color w:val="000000"/>
                <w:lang w:eastAsia="en-GB"/>
              </w:rPr>
              <w:t>Grangemouth</w:t>
            </w:r>
          </w:p>
        </w:tc>
        <w:tc>
          <w:tcPr>
            <w:tcW w:w="2254" w:type="dxa"/>
            <w:vAlign w:val="bottom"/>
          </w:tcPr>
          <w:p w14:paraId="63F17EC0" w14:textId="0FCA7B69" w:rsidR="00642545" w:rsidRDefault="00642545" w:rsidP="00642545">
            <w:pPr>
              <w:rPr>
                <w:rFonts w:ascii="Calibri" w:hAnsi="Calibri" w:cs="Calibri"/>
                <w:color w:val="000000"/>
              </w:rPr>
            </w:pPr>
            <w:r>
              <w:rPr>
                <w:rFonts w:ascii="Calibri" w:hAnsi="Calibri" w:cs="Calibri"/>
                <w:color w:val="000000"/>
              </w:rPr>
              <w:t>4</w:t>
            </w:r>
          </w:p>
        </w:tc>
        <w:tc>
          <w:tcPr>
            <w:tcW w:w="2254" w:type="dxa"/>
            <w:vAlign w:val="bottom"/>
          </w:tcPr>
          <w:p w14:paraId="4298745A" w14:textId="65ED3625" w:rsidR="00642545" w:rsidRDefault="00642545" w:rsidP="00642545">
            <w:pPr>
              <w:rPr>
                <w:rFonts w:ascii="Calibri" w:hAnsi="Calibri" w:cs="Calibri"/>
                <w:color w:val="000000"/>
              </w:rPr>
            </w:pPr>
            <w:r>
              <w:rPr>
                <w:rFonts w:ascii="Calibri" w:hAnsi="Calibri" w:cs="Calibri"/>
                <w:color w:val="000000"/>
              </w:rPr>
              <w:t>2%</w:t>
            </w:r>
          </w:p>
        </w:tc>
        <w:tc>
          <w:tcPr>
            <w:tcW w:w="2254" w:type="dxa"/>
            <w:vAlign w:val="bottom"/>
          </w:tcPr>
          <w:p w14:paraId="6DB46A0C" w14:textId="584322D3" w:rsidR="00642545" w:rsidRDefault="00642545" w:rsidP="00642545">
            <w:pPr>
              <w:rPr>
                <w:rFonts w:ascii="Calibri" w:hAnsi="Calibri" w:cs="Calibri"/>
                <w:color w:val="000000"/>
              </w:rPr>
            </w:pPr>
            <w:r>
              <w:rPr>
                <w:rFonts w:ascii="Calibri" w:hAnsi="Calibri" w:cs="Calibri"/>
                <w:color w:val="000000"/>
              </w:rPr>
              <w:t>0.03%</w:t>
            </w:r>
          </w:p>
        </w:tc>
      </w:tr>
      <w:tr w:rsidR="00642545" w14:paraId="2B58F2FB" w14:textId="77777777" w:rsidTr="00F13603">
        <w:tc>
          <w:tcPr>
            <w:tcW w:w="2254" w:type="dxa"/>
            <w:vAlign w:val="bottom"/>
          </w:tcPr>
          <w:p w14:paraId="5CEAE645" w14:textId="0E6E5AF5" w:rsidR="00642545" w:rsidRPr="00FB1B89" w:rsidRDefault="00642545" w:rsidP="00642545">
            <w:pPr>
              <w:rPr>
                <w:rFonts w:eastAsia="Times New Roman" w:cstheme="minorHAnsi"/>
                <w:color w:val="000000"/>
                <w:lang w:eastAsia="en-GB"/>
              </w:rPr>
            </w:pPr>
            <w:r>
              <w:rPr>
                <w:rFonts w:eastAsia="Times New Roman" w:cstheme="minorHAnsi"/>
                <w:color w:val="000000"/>
                <w:lang w:eastAsia="en-GB"/>
              </w:rPr>
              <w:t>Braes</w:t>
            </w:r>
            <w:r w:rsidRPr="00FB1B89">
              <w:rPr>
                <w:rFonts w:eastAsia="Times New Roman" w:cstheme="minorHAnsi"/>
                <w:color w:val="000000"/>
                <w:lang w:eastAsia="en-GB"/>
              </w:rPr>
              <w:t xml:space="preserve"> &amp; Rural South</w:t>
            </w:r>
          </w:p>
        </w:tc>
        <w:tc>
          <w:tcPr>
            <w:tcW w:w="2254" w:type="dxa"/>
            <w:vAlign w:val="bottom"/>
          </w:tcPr>
          <w:p w14:paraId="3A90DB4E" w14:textId="3AA41F54" w:rsidR="00642545" w:rsidRDefault="00642545" w:rsidP="00642545">
            <w:pPr>
              <w:rPr>
                <w:rFonts w:ascii="Calibri" w:hAnsi="Calibri" w:cs="Calibri"/>
                <w:color w:val="000000"/>
              </w:rPr>
            </w:pPr>
            <w:r>
              <w:rPr>
                <w:rFonts w:ascii="Calibri" w:hAnsi="Calibri" w:cs="Calibri"/>
                <w:color w:val="000000"/>
              </w:rPr>
              <w:t>21</w:t>
            </w:r>
          </w:p>
        </w:tc>
        <w:tc>
          <w:tcPr>
            <w:tcW w:w="2254" w:type="dxa"/>
            <w:vAlign w:val="bottom"/>
          </w:tcPr>
          <w:p w14:paraId="623A0AF0" w14:textId="4552A771" w:rsidR="00642545" w:rsidRDefault="00642545" w:rsidP="00642545">
            <w:pPr>
              <w:rPr>
                <w:rFonts w:ascii="Calibri" w:hAnsi="Calibri" w:cs="Calibri"/>
                <w:color w:val="000000"/>
              </w:rPr>
            </w:pPr>
            <w:r>
              <w:rPr>
                <w:rFonts w:ascii="Calibri" w:hAnsi="Calibri" w:cs="Calibri"/>
                <w:color w:val="000000"/>
              </w:rPr>
              <w:t>13%</w:t>
            </w:r>
          </w:p>
        </w:tc>
        <w:tc>
          <w:tcPr>
            <w:tcW w:w="2254" w:type="dxa"/>
            <w:vAlign w:val="bottom"/>
          </w:tcPr>
          <w:p w14:paraId="67C27D97" w14:textId="0EEE704C" w:rsidR="00642545" w:rsidRDefault="00642545" w:rsidP="00642545">
            <w:pPr>
              <w:rPr>
                <w:rFonts w:ascii="Calibri" w:hAnsi="Calibri" w:cs="Calibri"/>
                <w:color w:val="000000"/>
              </w:rPr>
            </w:pPr>
            <w:r>
              <w:rPr>
                <w:rFonts w:ascii="Calibri" w:hAnsi="Calibri" w:cs="Calibri"/>
                <w:color w:val="000000"/>
              </w:rPr>
              <w:t>0.16%</w:t>
            </w:r>
          </w:p>
        </w:tc>
      </w:tr>
      <w:tr w:rsidR="00642545" w14:paraId="6D8AE296" w14:textId="77777777" w:rsidTr="00F13603">
        <w:tc>
          <w:tcPr>
            <w:tcW w:w="2254" w:type="dxa"/>
            <w:vAlign w:val="bottom"/>
          </w:tcPr>
          <w:p w14:paraId="514A8D77" w14:textId="04238244" w:rsidR="00642545" w:rsidRDefault="00642545" w:rsidP="00642545">
            <w:pPr>
              <w:rPr>
                <w:rFonts w:eastAsia="Times New Roman" w:cstheme="minorHAnsi"/>
                <w:color w:val="000000"/>
                <w:lang w:eastAsia="en-GB"/>
              </w:rPr>
            </w:pPr>
            <w:r w:rsidRPr="00FB1B89">
              <w:rPr>
                <w:rFonts w:eastAsia="Times New Roman" w:cstheme="minorHAnsi"/>
                <w:color w:val="000000"/>
                <w:lang w:eastAsia="en-GB"/>
              </w:rPr>
              <w:t>Stenhousemuir Larbert &amp; Rural North</w:t>
            </w:r>
          </w:p>
        </w:tc>
        <w:tc>
          <w:tcPr>
            <w:tcW w:w="2254" w:type="dxa"/>
            <w:vAlign w:val="bottom"/>
          </w:tcPr>
          <w:p w14:paraId="3421F94E" w14:textId="61492239" w:rsidR="00642545" w:rsidRDefault="00642545" w:rsidP="00642545">
            <w:pPr>
              <w:rPr>
                <w:rFonts w:ascii="Calibri" w:hAnsi="Calibri" w:cs="Calibri"/>
                <w:color w:val="000000"/>
              </w:rPr>
            </w:pPr>
            <w:r>
              <w:rPr>
                <w:rFonts w:ascii="Calibri" w:hAnsi="Calibri" w:cs="Calibri"/>
                <w:color w:val="000000"/>
              </w:rPr>
              <w:t>26</w:t>
            </w:r>
          </w:p>
        </w:tc>
        <w:tc>
          <w:tcPr>
            <w:tcW w:w="2254" w:type="dxa"/>
            <w:vAlign w:val="bottom"/>
          </w:tcPr>
          <w:p w14:paraId="1665EE78" w14:textId="4DB2D566" w:rsidR="00642545" w:rsidRDefault="00642545" w:rsidP="00642545">
            <w:pPr>
              <w:rPr>
                <w:rFonts w:ascii="Calibri" w:hAnsi="Calibri" w:cs="Calibri"/>
                <w:color w:val="000000"/>
              </w:rPr>
            </w:pPr>
            <w:r>
              <w:rPr>
                <w:rFonts w:ascii="Calibri" w:hAnsi="Calibri" w:cs="Calibri"/>
                <w:color w:val="000000"/>
              </w:rPr>
              <w:t>16%</w:t>
            </w:r>
          </w:p>
        </w:tc>
        <w:tc>
          <w:tcPr>
            <w:tcW w:w="2254" w:type="dxa"/>
            <w:vAlign w:val="bottom"/>
          </w:tcPr>
          <w:p w14:paraId="5F7A2FDC" w14:textId="60B18B16" w:rsidR="00642545" w:rsidRDefault="00642545" w:rsidP="00642545">
            <w:pPr>
              <w:rPr>
                <w:rFonts w:ascii="Calibri" w:hAnsi="Calibri" w:cs="Calibri"/>
                <w:color w:val="000000"/>
              </w:rPr>
            </w:pPr>
            <w:r>
              <w:rPr>
                <w:rFonts w:ascii="Calibri" w:hAnsi="Calibri" w:cs="Calibri"/>
                <w:color w:val="000000"/>
              </w:rPr>
              <w:t>0.20%</w:t>
            </w:r>
          </w:p>
        </w:tc>
      </w:tr>
      <w:tr w:rsidR="00642545" w14:paraId="511F7822" w14:textId="77777777" w:rsidTr="00F13603">
        <w:tc>
          <w:tcPr>
            <w:tcW w:w="2254" w:type="dxa"/>
            <w:vAlign w:val="bottom"/>
          </w:tcPr>
          <w:p w14:paraId="2F8E5307" w14:textId="3F509BA6" w:rsidR="00642545" w:rsidRPr="00FB1B89" w:rsidRDefault="00642545" w:rsidP="00642545">
            <w:pPr>
              <w:rPr>
                <w:rFonts w:eastAsia="Times New Roman" w:cstheme="minorHAnsi"/>
                <w:color w:val="000000"/>
                <w:lang w:eastAsia="en-GB"/>
              </w:rPr>
            </w:pPr>
            <w:r w:rsidRPr="00FB1B89">
              <w:rPr>
                <w:rFonts w:eastAsia="Times New Roman" w:cstheme="minorHAnsi"/>
                <w:b/>
                <w:bCs/>
                <w:color w:val="000000"/>
                <w:lang w:eastAsia="en-GB"/>
              </w:rPr>
              <w:t>Total</w:t>
            </w:r>
          </w:p>
        </w:tc>
        <w:tc>
          <w:tcPr>
            <w:tcW w:w="2254" w:type="dxa"/>
            <w:vAlign w:val="bottom"/>
          </w:tcPr>
          <w:p w14:paraId="02140871" w14:textId="12700D58" w:rsidR="00642545" w:rsidRDefault="00642545" w:rsidP="00642545">
            <w:pPr>
              <w:rPr>
                <w:rFonts w:ascii="Calibri" w:hAnsi="Calibri" w:cs="Calibri"/>
                <w:color w:val="000000"/>
              </w:rPr>
            </w:pPr>
            <w:r>
              <w:rPr>
                <w:rFonts w:ascii="Calibri" w:hAnsi="Calibri" w:cs="Calibri"/>
                <w:b/>
                <w:bCs/>
                <w:color w:val="000000"/>
              </w:rPr>
              <w:t>164</w:t>
            </w:r>
          </w:p>
        </w:tc>
        <w:tc>
          <w:tcPr>
            <w:tcW w:w="2254" w:type="dxa"/>
            <w:vAlign w:val="bottom"/>
          </w:tcPr>
          <w:p w14:paraId="559482CF" w14:textId="6FBC9ADE" w:rsidR="00642545" w:rsidRDefault="00642545" w:rsidP="00642545">
            <w:pPr>
              <w:rPr>
                <w:rFonts w:ascii="Calibri" w:hAnsi="Calibri" w:cs="Calibri"/>
                <w:color w:val="000000"/>
              </w:rPr>
            </w:pPr>
            <w:r>
              <w:rPr>
                <w:rFonts w:ascii="Calibri" w:hAnsi="Calibri" w:cs="Calibri"/>
                <w:b/>
                <w:bCs/>
                <w:color w:val="000000"/>
              </w:rPr>
              <w:t>100%</w:t>
            </w:r>
          </w:p>
        </w:tc>
        <w:tc>
          <w:tcPr>
            <w:tcW w:w="2254" w:type="dxa"/>
            <w:vAlign w:val="bottom"/>
          </w:tcPr>
          <w:p w14:paraId="3D6B1C0A" w14:textId="318E35CE" w:rsidR="00642545" w:rsidRDefault="00642545" w:rsidP="00642545">
            <w:pPr>
              <w:rPr>
                <w:rFonts w:ascii="Calibri" w:hAnsi="Calibri" w:cs="Calibri"/>
                <w:color w:val="000000"/>
              </w:rPr>
            </w:pPr>
            <w:r>
              <w:rPr>
                <w:rFonts w:ascii="Calibri" w:hAnsi="Calibri" w:cs="Calibri"/>
                <w:b/>
                <w:bCs/>
                <w:color w:val="000000"/>
              </w:rPr>
              <w:t>1.23%</w:t>
            </w:r>
          </w:p>
        </w:tc>
      </w:tr>
    </w:tbl>
    <w:p w14:paraId="2F67AC41" w14:textId="74BD3A48" w:rsidR="00642545" w:rsidRDefault="00642545" w:rsidP="00642545">
      <w:pPr>
        <w:rPr>
          <w:rFonts w:cstheme="minorHAnsi"/>
          <w:sz w:val="18"/>
          <w:szCs w:val="18"/>
        </w:rPr>
      </w:pPr>
      <w:r w:rsidRPr="00A35003">
        <w:rPr>
          <w:rFonts w:cstheme="minorHAnsi"/>
          <w:sz w:val="18"/>
          <w:szCs w:val="18"/>
        </w:rPr>
        <w:t>Source: Registers of Scotland with further processing by Scottish Government</w:t>
      </w:r>
    </w:p>
    <w:p w14:paraId="36FE9ADA" w14:textId="77777777" w:rsidR="00642545" w:rsidRDefault="00642545" w:rsidP="00642545">
      <w:pPr>
        <w:rPr>
          <w:rFonts w:cstheme="minorHAnsi"/>
        </w:rPr>
      </w:pPr>
    </w:p>
    <w:p w14:paraId="6C97837C" w14:textId="77777777" w:rsidR="001E2C3C" w:rsidRDefault="001E2C3C">
      <w:pPr>
        <w:rPr>
          <w:rFonts w:asciiTheme="majorHAnsi" w:eastAsiaTheme="majorEastAsia" w:hAnsiTheme="majorHAnsi" w:cstheme="majorBidi"/>
          <w:b/>
          <w:bCs/>
          <w:sz w:val="24"/>
          <w:szCs w:val="24"/>
        </w:rPr>
      </w:pPr>
      <w:r>
        <w:rPr>
          <w:b/>
          <w:bCs/>
        </w:rPr>
        <w:br w:type="page"/>
      </w:r>
    </w:p>
    <w:p w14:paraId="569FD5F1" w14:textId="2F4E5ECC" w:rsidR="00642545" w:rsidRPr="001E2C3C" w:rsidRDefault="00642545" w:rsidP="00642545">
      <w:pPr>
        <w:pStyle w:val="Heading3"/>
        <w:rPr>
          <w:b/>
          <w:bCs/>
          <w:color w:val="auto"/>
        </w:rPr>
      </w:pPr>
      <w:r w:rsidRPr="001E2C3C">
        <w:rPr>
          <w:b/>
          <w:bCs/>
          <w:color w:val="auto"/>
        </w:rPr>
        <w:lastRenderedPageBreak/>
        <w:t>The role of new build housing</w:t>
      </w:r>
    </w:p>
    <w:p w14:paraId="58BF3DD2" w14:textId="4CDF565E" w:rsidR="00642545" w:rsidRPr="00160EB1" w:rsidRDefault="00642545" w:rsidP="00642545">
      <w:pPr>
        <w:rPr>
          <w:rFonts w:cstheme="minorHAnsi"/>
        </w:rPr>
      </w:pPr>
      <w:r w:rsidRPr="00160EB1">
        <w:rPr>
          <w:rFonts w:cstheme="minorHAnsi"/>
        </w:rPr>
        <w:t>The role of new build housing can be important in influencing mobile demand. A total of 1, 439 new build properties were considered to establish the degree of influence they have on levels of self-containment between 2014 and 2017.</w:t>
      </w:r>
      <w:r>
        <w:rPr>
          <w:rFonts w:cstheme="minorHAnsi"/>
        </w:rPr>
        <w:t xml:space="preserve"> New build sales in Braes and Rural South and Stenhousemuir, Larbert &amp; Rural North represent 25% and 22% of sales between 2014 and 2017 whereas in Denny &amp; Bonnybridge and it represented 15% of sales and Falkirk and Bo’ness 7%.</w:t>
      </w:r>
    </w:p>
    <w:p w14:paraId="3BB37390" w14:textId="4E6045C3" w:rsidR="00642545" w:rsidRPr="001E2C3C" w:rsidRDefault="00642545" w:rsidP="00642545">
      <w:pPr>
        <w:pStyle w:val="Heading4"/>
        <w:rPr>
          <w:b/>
          <w:bCs/>
          <w:i w:val="0"/>
          <w:iCs w:val="0"/>
          <w:color w:val="auto"/>
        </w:rPr>
      </w:pPr>
      <w:r w:rsidRPr="001E2C3C">
        <w:rPr>
          <w:b/>
          <w:bCs/>
          <w:i w:val="0"/>
          <w:iCs w:val="0"/>
          <w:color w:val="auto"/>
        </w:rPr>
        <w:t>Figure 11: Number of new and second hand sales 2014-2017</w:t>
      </w:r>
    </w:p>
    <w:p w14:paraId="6E651FB8" w14:textId="77777777" w:rsidR="00642545" w:rsidRDefault="00642545" w:rsidP="00642545">
      <w:pPr>
        <w:rPr>
          <w:rFonts w:cstheme="minorHAnsi"/>
          <w:b/>
          <w:bCs/>
        </w:rPr>
      </w:pPr>
      <w:r>
        <w:rPr>
          <w:rFonts w:cstheme="minorHAnsi"/>
          <w:b/>
          <w:bCs/>
          <w:noProof/>
        </w:rPr>
        <w:drawing>
          <wp:inline distT="0" distB="0" distL="0" distR="0" wp14:anchorId="3B8610D0" wp14:editId="245D2BC8">
            <wp:extent cx="4584700" cy="2724150"/>
            <wp:effectExtent l="0" t="0" r="6350" b="0"/>
            <wp:docPr id="11" name="Picture 11" descr="Figure 11: Number of new and second hand sales 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1: Number of new and second hand sales 2014-20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24150"/>
                    </a:xfrm>
                    <a:prstGeom prst="rect">
                      <a:avLst/>
                    </a:prstGeom>
                    <a:noFill/>
                  </pic:spPr>
                </pic:pic>
              </a:graphicData>
            </a:graphic>
          </wp:inline>
        </w:drawing>
      </w:r>
    </w:p>
    <w:p w14:paraId="387ECFD4" w14:textId="77777777" w:rsidR="00642545" w:rsidRPr="00A35003" w:rsidRDefault="00642545" w:rsidP="00642545">
      <w:pPr>
        <w:rPr>
          <w:rFonts w:cstheme="minorHAnsi"/>
        </w:rPr>
      </w:pPr>
      <w:r w:rsidRPr="00A35003">
        <w:rPr>
          <w:rFonts w:cstheme="minorHAnsi"/>
          <w:sz w:val="18"/>
          <w:szCs w:val="18"/>
        </w:rPr>
        <w:t>Source: Registers of Scotland with further processing by Scottish Government</w:t>
      </w:r>
    </w:p>
    <w:p w14:paraId="73F7C6C3" w14:textId="77777777" w:rsidR="00642545" w:rsidRDefault="00642545" w:rsidP="00642545">
      <w:pPr>
        <w:rPr>
          <w:rFonts w:cstheme="minorHAnsi"/>
        </w:rPr>
      </w:pPr>
      <w:r w:rsidRPr="0012270B">
        <w:rPr>
          <w:rFonts w:cstheme="minorHAnsi"/>
        </w:rPr>
        <w:t xml:space="preserve">Table </w:t>
      </w:r>
      <w:r>
        <w:rPr>
          <w:rFonts w:cstheme="minorHAnsi"/>
        </w:rPr>
        <w:t>7</w:t>
      </w:r>
      <w:r w:rsidRPr="0012270B">
        <w:rPr>
          <w:rFonts w:cstheme="minorHAnsi"/>
        </w:rPr>
        <w:t xml:space="preserve"> shows that 28% of new build buyers and 28% of all buyers come from outwith the Falkirk Council area. Analysis undertaken for the last HNDA showed 28% of new build buyers were from outwith the area and 26% for all sales. </w:t>
      </w:r>
    </w:p>
    <w:p w14:paraId="03912360" w14:textId="77777777" w:rsidR="00642545" w:rsidRPr="0012270B" w:rsidRDefault="00642545" w:rsidP="00642545">
      <w:pPr>
        <w:rPr>
          <w:rFonts w:cstheme="minorHAnsi"/>
        </w:rPr>
      </w:pPr>
      <w:r w:rsidRPr="0012270B">
        <w:rPr>
          <w:rFonts w:cstheme="minorHAnsi"/>
        </w:rPr>
        <w:t xml:space="preserve">There were only a handful of new build sales in the Grangemouth area due to the planning constraints, including restrictions on development from major hazard sites and flood risk which limit the potential of the area for growth. </w:t>
      </w:r>
      <w:r>
        <w:rPr>
          <w:rFonts w:cstheme="minorHAnsi"/>
        </w:rPr>
        <w:t xml:space="preserve">Table 6 shows that 60% of new build sales were from external buyers but this is due to the small number of new build properties sold which has skewed the figures. </w:t>
      </w:r>
    </w:p>
    <w:p w14:paraId="7BE40609" w14:textId="78A411F8" w:rsidR="00642545" w:rsidRPr="00785BFC" w:rsidRDefault="00642545" w:rsidP="00387E87">
      <w:pPr>
        <w:rPr>
          <w:rFonts w:cstheme="minorHAnsi"/>
        </w:rPr>
      </w:pPr>
      <w:r>
        <w:rPr>
          <w:rFonts w:cstheme="minorHAnsi"/>
        </w:rPr>
        <w:t>The table does highlight that the Bo’ness area had the highest percentage of sales to external buyers at 35%. The table also shows that there are a higher number of sales to external buyers of new build properties in Stenhousemuir, Larbert &amp; Rural North than for all sales.</w:t>
      </w:r>
    </w:p>
    <w:p w14:paraId="387E39F3" w14:textId="1EEE3EF1" w:rsidR="00642545" w:rsidRDefault="00642545" w:rsidP="00642545">
      <w:pPr>
        <w:pStyle w:val="Heading4"/>
        <w:rPr>
          <w:color w:val="auto"/>
        </w:rPr>
      </w:pPr>
      <w:r w:rsidRPr="00642545">
        <w:rPr>
          <w:color w:val="auto"/>
        </w:rPr>
        <w:t>Table 7: Percentage of new build and second hand sales from outwith Falkirk</w:t>
      </w:r>
    </w:p>
    <w:tbl>
      <w:tblPr>
        <w:tblStyle w:val="TableGrid"/>
        <w:tblW w:w="0" w:type="auto"/>
        <w:tblLook w:val="04A0" w:firstRow="1" w:lastRow="0" w:firstColumn="1" w:lastColumn="0" w:noHBand="0" w:noVBand="1"/>
      </w:tblPr>
      <w:tblGrid>
        <w:gridCol w:w="4390"/>
        <w:gridCol w:w="1701"/>
        <w:gridCol w:w="1559"/>
      </w:tblGrid>
      <w:tr w:rsidR="00642545" w14:paraId="75C8F8DD" w14:textId="77777777" w:rsidTr="00785BFC">
        <w:tc>
          <w:tcPr>
            <w:tcW w:w="4390" w:type="dxa"/>
          </w:tcPr>
          <w:p w14:paraId="17BB8B6C" w14:textId="2563EB5D" w:rsidR="00642545" w:rsidRDefault="00642545" w:rsidP="00642545">
            <w:r w:rsidRPr="00F2098E">
              <w:rPr>
                <w:rFonts w:ascii="Calibri" w:eastAsia="Times New Roman" w:hAnsi="Calibri" w:cs="Calibri"/>
                <w:b/>
                <w:bCs/>
                <w:color w:val="000000"/>
                <w:lang w:eastAsia="en-GB"/>
              </w:rPr>
              <w:t>Sub Area</w:t>
            </w:r>
          </w:p>
        </w:tc>
        <w:tc>
          <w:tcPr>
            <w:tcW w:w="1701" w:type="dxa"/>
          </w:tcPr>
          <w:p w14:paraId="10E065C2" w14:textId="0549130C" w:rsidR="00642545" w:rsidRDefault="00642545" w:rsidP="00642545">
            <w:r w:rsidRPr="00F2098E">
              <w:rPr>
                <w:rFonts w:ascii="Calibri" w:eastAsia="Times New Roman" w:hAnsi="Calibri" w:cs="Calibri"/>
                <w:b/>
                <w:bCs/>
                <w:color w:val="000000"/>
                <w:lang w:eastAsia="en-GB"/>
              </w:rPr>
              <w:t>External buyer new build sales</w:t>
            </w:r>
          </w:p>
        </w:tc>
        <w:tc>
          <w:tcPr>
            <w:tcW w:w="1559" w:type="dxa"/>
          </w:tcPr>
          <w:p w14:paraId="0BAC8DCF" w14:textId="5F6C790B" w:rsidR="00642545" w:rsidRDefault="00642545" w:rsidP="00642545">
            <w:r w:rsidRPr="00F2098E">
              <w:rPr>
                <w:rFonts w:ascii="Calibri" w:eastAsia="Times New Roman" w:hAnsi="Calibri" w:cs="Calibri"/>
                <w:b/>
                <w:bCs/>
                <w:color w:val="000000"/>
                <w:lang w:eastAsia="en-GB"/>
              </w:rPr>
              <w:t>External buyer all sales</w:t>
            </w:r>
          </w:p>
        </w:tc>
      </w:tr>
      <w:tr w:rsidR="00642545" w14:paraId="3F9BCF24" w14:textId="77777777" w:rsidTr="00785BFC">
        <w:tc>
          <w:tcPr>
            <w:tcW w:w="4390" w:type="dxa"/>
          </w:tcPr>
          <w:p w14:paraId="3A003F1B" w14:textId="4358BF24" w:rsidR="00642545" w:rsidRDefault="00642545" w:rsidP="00642545">
            <w:r w:rsidRPr="00F2098E">
              <w:rPr>
                <w:rFonts w:ascii="Calibri" w:eastAsia="Times New Roman" w:hAnsi="Calibri" w:cs="Calibri"/>
                <w:color w:val="000000"/>
                <w:lang w:eastAsia="en-GB"/>
              </w:rPr>
              <w:t>Bo'ness</w:t>
            </w:r>
          </w:p>
        </w:tc>
        <w:tc>
          <w:tcPr>
            <w:tcW w:w="1701" w:type="dxa"/>
            <w:vAlign w:val="bottom"/>
          </w:tcPr>
          <w:p w14:paraId="3681BC5C" w14:textId="3EA9AF42" w:rsidR="00642545" w:rsidRDefault="00642545" w:rsidP="00642545">
            <w:r w:rsidRPr="00F2098E">
              <w:rPr>
                <w:rFonts w:ascii="Calibri" w:eastAsia="Times New Roman" w:hAnsi="Calibri" w:cs="Calibri"/>
                <w:color w:val="000000"/>
                <w:lang w:eastAsia="en-GB"/>
              </w:rPr>
              <w:t>35%</w:t>
            </w:r>
          </w:p>
        </w:tc>
        <w:tc>
          <w:tcPr>
            <w:tcW w:w="1559" w:type="dxa"/>
            <w:vAlign w:val="bottom"/>
          </w:tcPr>
          <w:p w14:paraId="2A23EF30" w14:textId="0EB53A7E" w:rsidR="00642545" w:rsidRDefault="00642545" w:rsidP="00642545">
            <w:r w:rsidRPr="00F2098E">
              <w:rPr>
                <w:rFonts w:ascii="Calibri" w:eastAsia="Times New Roman" w:hAnsi="Calibri" w:cs="Calibri"/>
                <w:color w:val="000000"/>
                <w:lang w:eastAsia="en-GB"/>
              </w:rPr>
              <w:t>45%</w:t>
            </w:r>
          </w:p>
        </w:tc>
      </w:tr>
      <w:tr w:rsidR="00642545" w14:paraId="1E796721" w14:textId="77777777" w:rsidTr="00785BFC">
        <w:tc>
          <w:tcPr>
            <w:tcW w:w="4390" w:type="dxa"/>
          </w:tcPr>
          <w:p w14:paraId="57667596" w14:textId="59919A23" w:rsidR="00642545" w:rsidRDefault="00642545" w:rsidP="00642545">
            <w:r w:rsidRPr="00F2098E">
              <w:rPr>
                <w:rFonts w:ascii="Calibri" w:eastAsia="Times New Roman" w:hAnsi="Calibri" w:cs="Calibri"/>
                <w:color w:val="000000"/>
                <w:lang w:eastAsia="en-GB"/>
              </w:rPr>
              <w:t>Denny &amp; Bonnybridge</w:t>
            </w:r>
          </w:p>
        </w:tc>
        <w:tc>
          <w:tcPr>
            <w:tcW w:w="1701" w:type="dxa"/>
            <w:vAlign w:val="bottom"/>
          </w:tcPr>
          <w:p w14:paraId="10B9EFB6" w14:textId="41D30A8E" w:rsidR="00642545" w:rsidRDefault="00642545" w:rsidP="00642545">
            <w:r w:rsidRPr="00F2098E">
              <w:rPr>
                <w:rFonts w:ascii="Calibri" w:eastAsia="Times New Roman" w:hAnsi="Calibri" w:cs="Calibri"/>
                <w:color w:val="000000"/>
                <w:lang w:eastAsia="en-GB"/>
              </w:rPr>
              <w:t>32%</w:t>
            </w:r>
          </w:p>
        </w:tc>
        <w:tc>
          <w:tcPr>
            <w:tcW w:w="1559" w:type="dxa"/>
            <w:vAlign w:val="bottom"/>
          </w:tcPr>
          <w:p w14:paraId="482DC207" w14:textId="5848BB42" w:rsidR="00642545" w:rsidRDefault="00642545" w:rsidP="00642545">
            <w:r w:rsidRPr="00F2098E">
              <w:rPr>
                <w:rFonts w:ascii="Calibri" w:eastAsia="Times New Roman" w:hAnsi="Calibri" w:cs="Calibri"/>
                <w:color w:val="000000"/>
                <w:lang w:eastAsia="en-GB"/>
              </w:rPr>
              <w:t>33%</w:t>
            </w:r>
          </w:p>
        </w:tc>
      </w:tr>
      <w:tr w:rsidR="00642545" w14:paraId="18FF2411" w14:textId="77777777" w:rsidTr="00785BFC">
        <w:tc>
          <w:tcPr>
            <w:tcW w:w="4390" w:type="dxa"/>
          </w:tcPr>
          <w:p w14:paraId="327615A3" w14:textId="7944AC5D" w:rsidR="00642545" w:rsidRDefault="00642545" w:rsidP="00642545">
            <w:r w:rsidRPr="00F2098E">
              <w:rPr>
                <w:rFonts w:ascii="Calibri" w:eastAsia="Times New Roman" w:hAnsi="Calibri" w:cs="Calibri"/>
                <w:color w:val="000000"/>
                <w:lang w:eastAsia="en-GB"/>
              </w:rPr>
              <w:t>Falkirk</w:t>
            </w:r>
          </w:p>
        </w:tc>
        <w:tc>
          <w:tcPr>
            <w:tcW w:w="1701" w:type="dxa"/>
            <w:vAlign w:val="bottom"/>
          </w:tcPr>
          <w:p w14:paraId="7728CDFA" w14:textId="5A95605F" w:rsidR="00642545" w:rsidRDefault="00642545" w:rsidP="00642545">
            <w:r w:rsidRPr="00F2098E">
              <w:rPr>
                <w:rFonts w:ascii="Calibri" w:eastAsia="Times New Roman" w:hAnsi="Calibri" w:cs="Calibri"/>
                <w:color w:val="000000"/>
                <w:lang w:eastAsia="en-GB"/>
              </w:rPr>
              <w:t>19%</w:t>
            </w:r>
          </w:p>
        </w:tc>
        <w:tc>
          <w:tcPr>
            <w:tcW w:w="1559" w:type="dxa"/>
            <w:vAlign w:val="bottom"/>
          </w:tcPr>
          <w:p w14:paraId="7372DFC3" w14:textId="2F9F0EA1" w:rsidR="00642545" w:rsidRDefault="00642545" w:rsidP="00642545">
            <w:r w:rsidRPr="00F2098E">
              <w:rPr>
                <w:rFonts w:ascii="Calibri" w:eastAsia="Times New Roman" w:hAnsi="Calibri" w:cs="Calibri"/>
                <w:color w:val="000000"/>
                <w:lang w:eastAsia="en-GB"/>
              </w:rPr>
              <w:t>23%</w:t>
            </w:r>
          </w:p>
        </w:tc>
      </w:tr>
      <w:tr w:rsidR="00642545" w14:paraId="02FBDACE" w14:textId="77777777" w:rsidTr="00785BFC">
        <w:tc>
          <w:tcPr>
            <w:tcW w:w="4390" w:type="dxa"/>
          </w:tcPr>
          <w:p w14:paraId="0F176D21" w14:textId="04010278" w:rsidR="00642545" w:rsidRDefault="00642545" w:rsidP="00642545">
            <w:r w:rsidRPr="00F2098E">
              <w:rPr>
                <w:rFonts w:ascii="Calibri" w:eastAsia="Times New Roman" w:hAnsi="Calibri" w:cs="Calibri"/>
                <w:color w:val="000000"/>
                <w:lang w:eastAsia="en-GB"/>
              </w:rPr>
              <w:t>Grangemouth</w:t>
            </w:r>
          </w:p>
        </w:tc>
        <w:tc>
          <w:tcPr>
            <w:tcW w:w="1701" w:type="dxa"/>
            <w:vAlign w:val="bottom"/>
          </w:tcPr>
          <w:p w14:paraId="10C2535F" w14:textId="35C8701D" w:rsidR="00642545" w:rsidRDefault="00642545" w:rsidP="00642545">
            <w:r w:rsidRPr="00F2098E">
              <w:rPr>
                <w:rFonts w:ascii="Calibri" w:eastAsia="Times New Roman" w:hAnsi="Calibri" w:cs="Calibri"/>
                <w:color w:val="000000"/>
                <w:lang w:eastAsia="en-GB"/>
              </w:rPr>
              <w:t>60%</w:t>
            </w:r>
          </w:p>
        </w:tc>
        <w:tc>
          <w:tcPr>
            <w:tcW w:w="1559" w:type="dxa"/>
            <w:vAlign w:val="bottom"/>
          </w:tcPr>
          <w:p w14:paraId="0A0528D3" w14:textId="6581DD0D" w:rsidR="00642545" w:rsidRDefault="00642545" w:rsidP="00642545">
            <w:r w:rsidRPr="00F2098E">
              <w:rPr>
                <w:rFonts w:ascii="Calibri" w:eastAsia="Times New Roman" w:hAnsi="Calibri" w:cs="Calibri"/>
                <w:color w:val="000000"/>
                <w:lang w:eastAsia="en-GB"/>
              </w:rPr>
              <w:t>21%</w:t>
            </w:r>
          </w:p>
        </w:tc>
      </w:tr>
      <w:tr w:rsidR="00642545" w14:paraId="011A69BF" w14:textId="77777777" w:rsidTr="00785BFC">
        <w:tc>
          <w:tcPr>
            <w:tcW w:w="4390" w:type="dxa"/>
          </w:tcPr>
          <w:p w14:paraId="66D703DF" w14:textId="6D576727" w:rsidR="00642545" w:rsidRPr="00F2098E" w:rsidRDefault="00642545" w:rsidP="00642545">
            <w:pPr>
              <w:rPr>
                <w:rFonts w:ascii="Calibri" w:eastAsia="Times New Roman" w:hAnsi="Calibri" w:cs="Calibri"/>
                <w:color w:val="000000"/>
                <w:lang w:eastAsia="en-GB"/>
              </w:rPr>
            </w:pPr>
            <w:r>
              <w:rPr>
                <w:rFonts w:ascii="Calibri" w:eastAsia="Times New Roman" w:hAnsi="Calibri" w:cs="Calibri"/>
                <w:color w:val="000000"/>
                <w:lang w:eastAsia="en-GB"/>
              </w:rPr>
              <w:t>Braes</w:t>
            </w:r>
            <w:r w:rsidRPr="00F2098E">
              <w:rPr>
                <w:rFonts w:ascii="Calibri" w:eastAsia="Times New Roman" w:hAnsi="Calibri" w:cs="Calibri"/>
                <w:color w:val="000000"/>
                <w:lang w:eastAsia="en-GB"/>
              </w:rPr>
              <w:t xml:space="preserve"> &amp; Rural South</w:t>
            </w:r>
          </w:p>
        </w:tc>
        <w:tc>
          <w:tcPr>
            <w:tcW w:w="1701" w:type="dxa"/>
            <w:vAlign w:val="bottom"/>
          </w:tcPr>
          <w:p w14:paraId="61BC7985" w14:textId="4D1D27CC" w:rsidR="00642545" w:rsidRPr="00F2098E" w:rsidRDefault="00642545" w:rsidP="00642545">
            <w:pPr>
              <w:rPr>
                <w:rFonts w:ascii="Calibri" w:eastAsia="Times New Roman" w:hAnsi="Calibri" w:cs="Calibri"/>
                <w:color w:val="000000"/>
                <w:lang w:eastAsia="en-GB"/>
              </w:rPr>
            </w:pPr>
            <w:r w:rsidRPr="00F2098E">
              <w:rPr>
                <w:rFonts w:ascii="Calibri" w:eastAsia="Times New Roman" w:hAnsi="Calibri" w:cs="Calibri"/>
                <w:color w:val="000000"/>
                <w:lang w:eastAsia="en-GB"/>
              </w:rPr>
              <w:t>26%</w:t>
            </w:r>
          </w:p>
        </w:tc>
        <w:tc>
          <w:tcPr>
            <w:tcW w:w="1559" w:type="dxa"/>
            <w:vAlign w:val="bottom"/>
          </w:tcPr>
          <w:p w14:paraId="168ED8A8" w14:textId="728CA063" w:rsidR="00642545" w:rsidRPr="00F2098E" w:rsidRDefault="00642545" w:rsidP="00642545">
            <w:pPr>
              <w:rPr>
                <w:rFonts w:ascii="Calibri" w:eastAsia="Times New Roman" w:hAnsi="Calibri" w:cs="Calibri"/>
                <w:color w:val="000000"/>
                <w:lang w:eastAsia="en-GB"/>
              </w:rPr>
            </w:pPr>
            <w:r w:rsidRPr="00F2098E">
              <w:rPr>
                <w:rFonts w:ascii="Calibri" w:eastAsia="Times New Roman" w:hAnsi="Calibri" w:cs="Calibri"/>
                <w:color w:val="000000"/>
                <w:lang w:eastAsia="en-GB"/>
              </w:rPr>
              <w:t>28%</w:t>
            </w:r>
          </w:p>
        </w:tc>
      </w:tr>
      <w:tr w:rsidR="00642545" w14:paraId="7844A8A6" w14:textId="77777777" w:rsidTr="00785BFC">
        <w:tc>
          <w:tcPr>
            <w:tcW w:w="4390" w:type="dxa"/>
          </w:tcPr>
          <w:p w14:paraId="18E15095" w14:textId="7D06D5C6" w:rsidR="00642545" w:rsidRDefault="00642545" w:rsidP="00642545">
            <w:pPr>
              <w:rPr>
                <w:rFonts w:ascii="Calibri" w:eastAsia="Times New Roman" w:hAnsi="Calibri" w:cs="Calibri"/>
                <w:color w:val="000000"/>
                <w:lang w:eastAsia="en-GB"/>
              </w:rPr>
            </w:pPr>
            <w:r w:rsidRPr="00F2098E">
              <w:rPr>
                <w:rFonts w:ascii="Calibri" w:eastAsia="Times New Roman" w:hAnsi="Calibri" w:cs="Calibri"/>
                <w:color w:val="000000"/>
                <w:lang w:eastAsia="en-GB"/>
              </w:rPr>
              <w:t>Stenhousemuir</w:t>
            </w:r>
            <w:r>
              <w:rPr>
                <w:rFonts w:ascii="Calibri" w:eastAsia="Times New Roman" w:hAnsi="Calibri" w:cs="Calibri"/>
                <w:color w:val="000000"/>
                <w:lang w:eastAsia="en-GB"/>
              </w:rPr>
              <w:t>,</w:t>
            </w:r>
            <w:r w:rsidRPr="00F2098E">
              <w:rPr>
                <w:rFonts w:ascii="Calibri" w:eastAsia="Times New Roman" w:hAnsi="Calibri" w:cs="Calibri"/>
                <w:color w:val="000000"/>
                <w:lang w:eastAsia="en-GB"/>
              </w:rPr>
              <w:t xml:space="preserve"> Larbert &amp; Rural North</w:t>
            </w:r>
          </w:p>
        </w:tc>
        <w:tc>
          <w:tcPr>
            <w:tcW w:w="1701" w:type="dxa"/>
            <w:vAlign w:val="bottom"/>
          </w:tcPr>
          <w:p w14:paraId="16DD162F" w14:textId="0A43F54F" w:rsidR="00642545" w:rsidRPr="00F2098E" w:rsidRDefault="00642545" w:rsidP="00642545">
            <w:pPr>
              <w:rPr>
                <w:rFonts w:ascii="Calibri" w:eastAsia="Times New Roman" w:hAnsi="Calibri" w:cs="Calibri"/>
                <w:color w:val="000000"/>
                <w:lang w:eastAsia="en-GB"/>
              </w:rPr>
            </w:pPr>
            <w:r w:rsidRPr="00F2098E">
              <w:rPr>
                <w:rFonts w:ascii="Calibri" w:eastAsia="Times New Roman" w:hAnsi="Calibri" w:cs="Calibri"/>
                <w:color w:val="000000"/>
                <w:lang w:eastAsia="en-GB"/>
              </w:rPr>
              <w:t>31%</w:t>
            </w:r>
          </w:p>
        </w:tc>
        <w:tc>
          <w:tcPr>
            <w:tcW w:w="1559" w:type="dxa"/>
            <w:vAlign w:val="bottom"/>
          </w:tcPr>
          <w:p w14:paraId="3AA8C970" w14:textId="6C268C39" w:rsidR="00642545" w:rsidRPr="00F2098E" w:rsidRDefault="00642545" w:rsidP="00642545">
            <w:pPr>
              <w:rPr>
                <w:rFonts w:ascii="Calibri" w:eastAsia="Times New Roman" w:hAnsi="Calibri" w:cs="Calibri"/>
                <w:color w:val="000000"/>
                <w:lang w:eastAsia="en-GB"/>
              </w:rPr>
            </w:pPr>
            <w:r w:rsidRPr="00F2098E">
              <w:rPr>
                <w:rFonts w:ascii="Calibri" w:eastAsia="Times New Roman" w:hAnsi="Calibri" w:cs="Calibri"/>
                <w:color w:val="000000"/>
                <w:lang w:eastAsia="en-GB"/>
              </w:rPr>
              <w:t>24%</w:t>
            </w:r>
          </w:p>
        </w:tc>
      </w:tr>
      <w:tr w:rsidR="00642545" w14:paraId="0B06502C" w14:textId="77777777" w:rsidTr="00785BFC">
        <w:tc>
          <w:tcPr>
            <w:tcW w:w="4390" w:type="dxa"/>
          </w:tcPr>
          <w:p w14:paraId="7EB6D0C0" w14:textId="0C3E576B" w:rsidR="00642545" w:rsidRPr="00F2098E" w:rsidRDefault="00642545" w:rsidP="00642545">
            <w:pPr>
              <w:rPr>
                <w:rFonts w:ascii="Calibri" w:eastAsia="Times New Roman" w:hAnsi="Calibri" w:cs="Calibri"/>
                <w:color w:val="000000"/>
                <w:lang w:eastAsia="en-GB"/>
              </w:rPr>
            </w:pPr>
            <w:r w:rsidRPr="00F2098E">
              <w:rPr>
                <w:rFonts w:ascii="Calibri" w:eastAsia="Times New Roman" w:hAnsi="Calibri" w:cs="Calibri"/>
                <w:b/>
                <w:bCs/>
                <w:color w:val="000000"/>
                <w:lang w:eastAsia="en-GB"/>
              </w:rPr>
              <w:t>Total</w:t>
            </w:r>
          </w:p>
        </w:tc>
        <w:tc>
          <w:tcPr>
            <w:tcW w:w="1701" w:type="dxa"/>
            <w:vAlign w:val="bottom"/>
          </w:tcPr>
          <w:p w14:paraId="46734219" w14:textId="4EAC5686" w:rsidR="00642545" w:rsidRPr="00F2098E" w:rsidRDefault="00642545" w:rsidP="00642545">
            <w:pPr>
              <w:rPr>
                <w:rFonts w:ascii="Calibri" w:eastAsia="Times New Roman" w:hAnsi="Calibri" w:cs="Calibri"/>
                <w:color w:val="000000"/>
                <w:lang w:eastAsia="en-GB"/>
              </w:rPr>
            </w:pPr>
            <w:r w:rsidRPr="00F2098E">
              <w:rPr>
                <w:rFonts w:ascii="Calibri" w:eastAsia="Times New Roman" w:hAnsi="Calibri" w:cs="Calibri"/>
                <w:b/>
                <w:bCs/>
                <w:color w:val="000000"/>
                <w:lang w:eastAsia="en-GB"/>
              </w:rPr>
              <w:t>28%</w:t>
            </w:r>
          </w:p>
        </w:tc>
        <w:tc>
          <w:tcPr>
            <w:tcW w:w="1559" w:type="dxa"/>
            <w:vAlign w:val="bottom"/>
          </w:tcPr>
          <w:p w14:paraId="4EBB85BC" w14:textId="4480246D" w:rsidR="00642545" w:rsidRPr="00F2098E" w:rsidRDefault="00642545" w:rsidP="00642545">
            <w:pPr>
              <w:rPr>
                <w:rFonts w:ascii="Calibri" w:eastAsia="Times New Roman" w:hAnsi="Calibri" w:cs="Calibri"/>
                <w:color w:val="000000"/>
                <w:lang w:eastAsia="en-GB"/>
              </w:rPr>
            </w:pPr>
            <w:r w:rsidRPr="00F2098E">
              <w:rPr>
                <w:rFonts w:ascii="Calibri" w:eastAsia="Times New Roman" w:hAnsi="Calibri" w:cs="Calibri"/>
                <w:b/>
                <w:bCs/>
                <w:color w:val="000000"/>
                <w:lang w:eastAsia="en-GB"/>
              </w:rPr>
              <w:t>28%</w:t>
            </w:r>
          </w:p>
        </w:tc>
      </w:tr>
    </w:tbl>
    <w:p w14:paraId="0D18B56A" w14:textId="77777777" w:rsidR="00642545" w:rsidRPr="00A35003" w:rsidRDefault="00642545" w:rsidP="00642545">
      <w:pPr>
        <w:rPr>
          <w:rFonts w:cstheme="minorHAnsi"/>
        </w:rPr>
      </w:pPr>
      <w:r w:rsidRPr="00A35003">
        <w:rPr>
          <w:rFonts w:cstheme="minorHAnsi"/>
          <w:sz w:val="18"/>
          <w:szCs w:val="18"/>
        </w:rPr>
        <w:t>Source: Registers of Scotland with further processing by Scottish Government</w:t>
      </w:r>
    </w:p>
    <w:p w14:paraId="423E644A" w14:textId="25654E6E" w:rsidR="00642545" w:rsidRPr="00785BFC" w:rsidRDefault="00642545" w:rsidP="00642545">
      <w:pPr>
        <w:pStyle w:val="Heading3"/>
        <w:rPr>
          <w:b/>
          <w:bCs/>
          <w:color w:val="auto"/>
        </w:rPr>
      </w:pPr>
      <w:r w:rsidRPr="00785BFC">
        <w:rPr>
          <w:b/>
          <w:bCs/>
          <w:color w:val="auto"/>
        </w:rPr>
        <w:lastRenderedPageBreak/>
        <w:t>Differences between the previous HNDA and work undertaken for this refresh</w:t>
      </w:r>
    </w:p>
    <w:p w14:paraId="6E9A4B2A" w14:textId="12EB37E9" w:rsidR="00642545" w:rsidRPr="006A4B37" w:rsidRDefault="00642545" w:rsidP="00642545">
      <w:pPr>
        <w:rPr>
          <w:rFonts w:cstheme="minorHAnsi"/>
        </w:rPr>
      </w:pPr>
      <w:r w:rsidRPr="006A4B37">
        <w:rPr>
          <w:rFonts w:cstheme="minorHAnsi"/>
        </w:rPr>
        <w:t>Comparing the analysis on origin based sales undertaken for the last couple of HNDAs there has been overall an increase in self-containment levels</w:t>
      </w:r>
      <w:r w:rsidR="00AE7CD6" w:rsidRPr="006A4B37">
        <w:rPr>
          <w:rFonts w:cstheme="minorHAnsi"/>
        </w:rPr>
        <w:t xml:space="preserve">. </w:t>
      </w:r>
      <w:r w:rsidRPr="006A4B37">
        <w:rPr>
          <w:rFonts w:cstheme="minorHAnsi"/>
        </w:rPr>
        <w:t>The level of self-containment has increased from 66% in 2002-2006 to 69% in 2006-2009 and then increased further to 73% in analysis undertaken for 2010-2013 in the last HNDA. Work undertaken for this HNDA and on sales from 2014-2017 show that self-containment is at 72%, a slight decrease on analysis undertaken for the last HNDA.</w:t>
      </w:r>
    </w:p>
    <w:p w14:paraId="304273C2" w14:textId="77777777" w:rsidR="00642545" w:rsidRPr="006F3878" w:rsidRDefault="00642545" w:rsidP="00642545">
      <w:pPr>
        <w:rPr>
          <w:rFonts w:cstheme="minorHAnsi"/>
        </w:rPr>
      </w:pPr>
      <w:r w:rsidRPr="006F3878">
        <w:rPr>
          <w:rFonts w:cstheme="minorHAnsi"/>
        </w:rPr>
        <w:t xml:space="preserve">Looking in more detail at sales within the six housing sub market areas there are a number of areas that saw an increase in the level of self-containment, notably Bo’ness (4 percentage points) and  Falkirk (10 percentage points). There were two sub areas that saw a notable decrease in the level of self-containment and these are Grangemouth (7 percentage points) and Stenhousemuir, Larbert and Rural North (9 percentage points). </w:t>
      </w:r>
    </w:p>
    <w:p w14:paraId="005FA9BB" w14:textId="77777777" w:rsidR="00642545" w:rsidRPr="00120890" w:rsidRDefault="00642545" w:rsidP="00642545">
      <w:pPr>
        <w:rPr>
          <w:rFonts w:ascii="Garamond" w:hAnsi="Garamond"/>
          <w:sz w:val="24"/>
          <w:szCs w:val="24"/>
        </w:rPr>
      </w:pPr>
      <w:r w:rsidRPr="00B91910">
        <w:rPr>
          <w:rFonts w:cstheme="minorHAnsi"/>
        </w:rPr>
        <w:t>When looking at specific sub areas there are some notable findings in some sub areas. In the Bo’ness  area the number of buyers from West Lothian has decreased by 7 percentage points whereas the percentage from Edinburgh has remained the same at 12%. In the Denny and Bonnybridge area the number of sales where the origin was North Lanarkshire has fallen by 5 percentage points but the number from Stirling has seen a 5 percentage point increase.</w:t>
      </w:r>
      <w:r w:rsidRPr="00120890">
        <w:rPr>
          <w:rFonts w:ascii="Garamond" w:hAnsi="Garamond"/>
          <w:sz w:val="24"/>
          <w:szCs w:val="24"/>
        </w:rPr>
        <w:t xml:space="preserve"> </w:t>
      </w:r>
      <w:r w:rsidRPr="0063130C">
        <w:rPr>
          <w:rFonts w:cstheme="minorHAnsi"/>
        </w:rPr>
        <w:t xml:space="preserve">In the Falkirk area there has been a 2 percentage points increase in the number of sales from Larbert, Stenhousemuir and Rural North and also </w:t>
      </w:r>
      <w:r>
        <w:rPr>
          <w:rFonts w:cstheme="minorHAnsi"/>
        </w:rPr>
        <w:t>Braes</w:t>
      </w:r>
      <w:r w:rsidRPr="0063130C">
        <w:rPr>
          <w:rFonts w:cstheme="minorHAnsi"/>
        </w:rPr>
        <w:t xml:space="preserve"> and Rural South. In Grangemouth there has been a small increase of 1 percentage points in sales from buyers from Falkirk and </w:t>
      </w:r>
      <w:r>
        <w:rPr>
          <w:rFonts w:cstheme="minorHAnsi"/>
        </w:rPr>
        <w:t>Braes</w:t>
      </w:r>
      <w:r w:rsidRPr="0063130C">
        <w:rPr>
          <w:rFonts w:cstheme="minorHAnsi"/>
        </w:rPr>
        <w:t xml:space="preserve"> &amp; Rural South and 2 percentage point increase from Stenhousemuir, Larbert &amp; Rural North. In the </w:t>
      </w:r>
      <w:r>
        <w:rPr>
          <w:rFonts w:cstheme="minorHAnsi"/>
        </w:rPr>
        <w:t>Braes</w:t>
      </w:r>
      <w:r w:rsidRPr="0063130C">
        <w:rPr>
          <w:rFonts w:cstheme="minorHAnsi"/>
        </w:rPr>
        <w:t xml:space="preserve"> and Rural South area the number of sales from buyers whose origin is the Falkirk area has decreased by 2 percentage points. Within Stenhousemuir, Larbert and Rural North the number of sales from the Falkirk area has fallen by 2 percentage points.</w:t>
      </w:r>
    </w:p>
    <w:p w14:paraId="70FF0CA6" w14:textId="77777777" w:rsidR="00642545" w:rsidRPr="00785BFC" w:rsidRDefault="00642545" w:rsidP="00642545">
      <w:pPr>
        <w:pStyle w:val="Heading3"/>
        <w:rPr>
          <w:b/>
          <w:bCs/>
          <w:color w:val="auto"/>
        </w:rPr>
      </w:pPr>
      <w:r w:rsidRPr="00785BFC">
        <w:rPr>
          <w:b/>
          <w:bCs/>
          <w:color w:val="auto"/>
        </w:rPr>
        <w:t>Conclusions</w:t>
      </w:r>
    </w:p>
    <w:p w14:paraId="76AE65B7" w14:textId="77777777" w:rsidR="00AC7067" w:rsidRPr="00BC6645" w:rsidRDefault="00642545" w:rsidP="00AC7067">
      <w:pPr>
        <w:rPr>
          <w:rFonts w:cstheme="minorHAnsi"/>
        </w:rPr>
      </w:pPr>
      <w:r w:rsidRPr="00BC6645">
        <w:rPr>
          <w:rFonts w:cstheme="minorHAnsi"/>
        </w:rPr>
        <w:t xml:space="preserve">The analysis of the six housing </w:t>
      </w:r>
      <w:proofErr w:type="gramStart"/>
      <w:r w:rsidRPr="00BC6645">
        <w:rPr>
          <w:rFonts w:cstheme="minorHAnsi"/>
        </w:rPr>
        <w:t>sub market</w:t>
      </w:r>
      <w:proofErr w:type="gramEnd"/>
      <w:r w:rsidRPr="00BC6645">
        <w:rPr>
          <w:rFonts w:cstheme="minorHAnsi"/>
        </w:rPr>
        <w:t xml:space="preserve"> areas in Falkirk has shown that there are some relationships with housing market areas outwith the Falkirk area. None of the relationships between the housing market areas are significant enough to justify the merger of market areas. The housing</w:t>
      </w:r>
      <w:r w:rsidR="00AC7067">
        <w:rPr>
          <w:rFonts w:cstheme="minorHAnsi"/>
        </w:rPr>
        <w:t xml:space="preserve"> </w:t>
      </w:r>
      <w:r w:rsidR="00AC7067" w:rsidRPr="00BC6645">
        <w:rPr>
          <w:rFonts w:cstheme="minorHAnsi"/>
        </w:rPr>
        <w:t xml:space="preserve">sub market areas identified by Newhaven Research in 2007 and then updated in 2009 remain. The origin based self-containment analysis indicated that buyers come from other areas notably Edinburgh, West Lothian and North Lanarkshire. </w:t>
      </w:r>
    </w:p>
    <w:p w14:paraId="263CA1F2" w14:textId="77777777" w:rsidR="00AC7067" w:rsidRDefault="00AC7067" w:rsidP="00AC7067">
      <w:pPr>
        <w:rPr>
          <w:rFonts w:cstheme="minorHAnsi"/>
        </w:rPr>
      </w:pPr>
    </w:p>
    <w:p w14:paraId="1B8107A8" w14:textId="4974F089" w:rsidR="00AC7067" w:rsidRPr="00321C8B" w:rsidRDefault="00AC7067" w:rsidP="00AC7067">
      <w:pPr>
        <w:rPr>
          <w:rFonts w:cstheme="minorHAnsi"/>
        </w:rPr>
      </w:pPr>
      <w:r w:rsidRPr="00321C8B">
        <w:rPr>
          <w:rFonts w:cstheme="minorHAnsi"/>
        </w:rPr>
        <w:t xml:space="preserve">The origin based analysis for the different sub areas indicated the </w:t>
      </w:r>
      <w:proofErr w:type="gramStart"/>
      <w:r w:rsidRPr="00321C8B">
        <w:rPr>
          <w:rFonts w:cstheme="minorHAnsi"/>
        </w:rPr>
        <w:t>following;</w:t>
      </w:r>
      <w:proofErr w:type="gramEnd"/>
    </w:p>
    <w:p w14:paraId="400F7A58" w14:textId="77777777" w:rsidR="00AC7067" w:rsidRPr="00321C8B" w:rsidRDefault="00AC7067" w:rsidP="00AC7067">
      <w:pPr>
        <w:pStyle w:val="ListParagraph"/>
        <w:numPr>
          <w:ilvl w:val="0"/>
          <w:numId w:val="6"/>
        </w:numPr>
        <w:spacing w:after="200" w:line="276" w:lineRule="auto"/>
        <w:rPr>
          <w:rFonts w:cstheme="minorHAnsi"/>
        </w:rPr>
      </w:pPr>
      <w:r w:rsidRPr="00321C8B">
        <w:rPr>
          <w:rFonts w:cstheme="minorHAnsi"/>
        </w:rPr>
        <w:t>Bo’ness – Most buyers come from the sub area and then West Lothian followed by Edinburgh</w:t>
      </w:r>
    </w:p>
    <w:p w14:paraId="2CD5524B" w14:textId="77777777" w:rsidR="00AC7067" w:rsidRPr="00321C8B" w:rsidRDefault="00AC7067" w:rsidP="00AC7067">
      <w:pPr>
        <w:pStyle w:val="ListParagraph"/>
        <w:numPr>
          <w:ilvl w:val="0"/>
          <w:numId w:val="6"/>
        </w:numPr>
        <w:spacing w:after="200" w:line="276" w:lineRule="auto"/>
        <w:rPr>
          <w:rFonts w:cstheme="minorHAnsi"/>
        </w:rPr>
      </w:pPr>
      <w:r w:rsidRPr="00321C8B">
        <w:rPr>
          <w:rFonts w:cstheme="minorHAnsi"/>
        </w:rPr>
        <w:t>Denny and Bonnybridge – Most buyers come from the sub area and then Stirling</w:t>
      </w:r>
    </w:p>
    <w:p w14:paraId="0EC2D64C" w14:textId="77777777" w:rsidR="00AC7067" w:rsidRPr="00321C8B" w:rsidRDefault="00AC7067" w:rsidP="00AC7067">
      <w:pPr>
        <w:pStyle w:val="ListParagraph"/>
        <w:numPr>
          <w:ilvl w:val="0"/>
          <w:numId w:val="6"/>
        </w:numPr>
        <w:spacing w:after="200" w:line="276" w:lineRule="auto"/>
        <w:rPr>
          <w:rFonts w:cstheme="minorHAnsi"/>
        </w:rPr>
      </w:pPr>
      <w:r w:rsidRPr="00321C8B">
        <w:rPr>
          <w:rFonts w:cstheme="minorHAnsi"/>
        </w:rPr>
        <w:t xml:space="preserve">Falkirk – Most buyers come from the sub area and then Stenhousemuir, Larbert and Rural North closely followed by </w:t>
      </w:r>
      <w:r>
        <w:rPr>
          <w:rFonts w:cstheme="minorHAnsi"/>
        </w:rPr>
        <w:t>Braes</w:t>
      </w:r>
      <w:r w:rsidRPr="00321C8B">
        <w:rPr>
          <w:rFonts w:cstheme="minorHAnsi"/>
        </w:rPr>
        <w:t xml:space="preserve"> and Rural South</w:t>
      </w:r>
    </w:p>
    <w:p w14:paraId="63A3ED49" w14:textId="77777777" w:rsidR="00AC7067" w:rsidRPr="00321C8B" w:rsidRDefault="00AC7067" w:rsidP="00AC7067">
      <w:pPr>
        <w:pStyle w:val="ListParagraph"/>
        <w:numPr>
          <w:ilvl w:val="0"/>
          <w:numId w:val="6"/>
        </w:numPr>
        <w:spacing w:after="200" w:line="276" w:lineRule="auto"/>
        <w:rPr>
          <w:rFonts w:cstheme="minorHAnsi"/>
        </w:rPr>
      </w:pPr>
      <w:r w:rsidRPr="00321C8B">
        <w:rPr>
          <w:rFonts w:cstheme="minorHAnsi"/>
        </w:rPr>
        <w:t xml:space="preserve">Grangemouth – Most buyers come from the sub area followed by Falkirk and then </w:t>
      </w:r>
      <w:r>
        <w:rPr>
          <w:rFonts w:cstheme="minorHAnsi"/>
        </w:rPr>
        <w:t>Braes</w:t>
      </w:r>
      <w:r w:rsidRPr="00321C8B">
        <w:rPr>
          <w:rFonts w:cstheme="minorHAnsi"/>
        </w:rPr>
        <w:t xml:space="preserve"> and Rural South</w:t>
      </w:r>
    </w:p>
    <w:p w14:paraId="22D2F4E5" w14:textId="77777777" w:rsidR="00AC7067" w:rsidRPr="00321C8B" w:rsidRDefault="00AC7067" w:rsidP="00AC7067">
      <w:pPr>
        <w:pStyle w:val="ListParagraph"/>
        <w:numPr>
          <w:ilvl w:val="0"/>
          <w:numId w:val="6"/>
        </w:numPr>
        <w:spacing w:after="200" w:line="276" w:lineRule="auto"/>
        <w:rPr>
          <w:rFonts w:cstheme="minorHAnsi"/>
        </w:rPr>
      </w:pPr>
      <w:r>
        <w:rPr>
          <w:rFonts w:cstheme="minorHAnsi"/>
        </w:rPr>
        <w:t>Braes</w:t>
      </w:r>
      <w:r w:rsidRPr="00321C8B">
        <w:rPr>
          <w:rFonts w:cstheme="minorHAnsi"/>
        </w:rPr>
        <w:t xml:space="preserve"> and Rural South – Most buyers come from the sub area and then Falkirk. </w:t>
      </w:r>
    </w:p>
    <w:p w14:paraId="1209B3D6" w14:textId="77777777" w:rsidR="00AC7067" w:rsidRPr="00321C8B" w:rsidRDefault="00AC7067" w:rsidP="00AC7067">
      <w:pPr>
        <w:pStyle w:val="ListParagraph"/>
        <w:numPr>
          <w:ilvl w:val="0"/>
          <w:numId w:val="6"/>
        </w:numPr>
        <w:spacing w:after="200" w:line="276" w:lineRule="auto"/>
        <w:rPr>
          <w:rFonts w:cstheme="minorHAnsi"/>
        </w:rPr>
      </w:pPr>
      <w:r w:rsidRPr="00321C8B">
        <w:rPr>
          <w:rFonts w:cstheme="minorHAnsi"/>
        </w:rPr>
        <w:t xml:space="preserve">Stenhousemuir, Larbert and Rural North – Most buyers come from the sub area and then Falkirk. </w:t>
      </w:r>
    </w:p>
    <w:p w14:paraId="2A804D6E" w14:textId="1944C687" w:rsidR="00642545" w:rsidRPr="00A35003" w:rsidRDefault="00642545" w:rsidP="00642545">
      <w:pPr>
        <w:rPr>
          <w:rFonts w:cstheme="minorHAnsi"/>
        </w:rPr>
      </w:pPr>
    </w:p>
    <w:p w14:paraId="2AC12B51" w14:textId="77777777" w:rsidR="00387E87" w:rsidRDefault="00387E87" w:rsidP="00387E87">
      <w:pPr>
        <w:rPr>
          <w:rFonts w:cstheme="minorHAnsi"/>
        </w:rPr>
      </w:pPr>
      <w:r>
        <w:rPr>
          <w:rFonts w:cstheme="minorHAnsi"/>
        </w:rPr>
        <w:lastRenderedPageBreak/>
        <w:br w:type="page"/>
      </w:r>
    </w:p>
    <w:p w14:paraId="7BDCFCE7" w14:textId="77777777" w:rsidR="00387E87" w:rsidRPr="00A35003" w:rsidRDefault="00387E87" w:rsidP="00387E87">
      <w:pPr>
        <w:rPr>
          <w:rFonts w:cstheme="minorHAnsi"/>
        </w:rPr>
      </w:pPr>
    </w:p>
    <w:p w14:paraId="7416264A" w14:textId="77777777" w:rsidR="00387E87" w:rsidRPr="00A35003" w:rsidRDefault="00387E87" w:rsidP="00A87A7A">
      <w:pPr>
        <w:rPr>
          <w:rFonts w:cstheme="minorHAnsi"/>
        </w:rPr>
      </w:pPr>
    </w:p>
    <w:p w14:paraId="7B79FD14" w14:textId="77777777" w:rsidR="00A87A7A" w:rsidRDefault="00A87A7A" w:rsidP="00A87A7A">
      <w:pPr>
        <w:rPr>
          <w:rFonts w:cstheme="minorHAnsi"/>
          <w:b/>
          <w:bCs/>
        </w:rPr>
      </w:pPr>
    </w:p>
    <w:p w14:paraId="2C5F0F5E" w14:textId="77777777" w:rsidR="00A87A7A" w:rsidRPr="00A87A7A" w:rsidRDefault="00A87A7A" w:rsidP="00A87A7A">
      <w:pPr>
        <w:rPr>
          <w:rFonts w:cstheme="minorHAnsi"/>
        </w:rPr>
      </w:pPr>
    </w:p>
    <w:p w14:paraId="35F720E9" w14:textId="77777777" w:rsidR="00A87A7A" w:rsidRPr="00A87A7A" w:rsidRDefault="00A87A7A" w:rsidP="00A87A7A">
      <w:pPr>
        <w:ind w:left="360"/>
        <w:rPr>
          <w:rFonts w:cstheme="minorHAnsi"/>
        </w:rPr>
      </w:pPr>
    </w:p>
    <w:p w14:paraId="0F980289" w14:textId="77777777" w:rsidR="00A87A7A" w:rsidRPr="00A87A7A" w:rsidRDefault="00A87A7A" w:rsidP="00A87A7A">
      <w:pPr>
        <w:spacing w:before="100" w:beforeAutospacing="1" w:after="100" w:afterAutospacing="1" w:line="240" w:lineRule="auto"/>
        <w:rPr>
          <w:rFonts w:eastAsia="Times New Roman" w:cstheme="minorHAnsi"/>
          <w:lang w:val="en" w:eastAsia="en-GB"/>
        </w:rPr>
      </w:pPr>
    </w:p>
    <w:p w14:paraId="2A099E17" w14:textId="77777777" w:rsidR="00A87A7A" w:rsidRPr="00A35003" w:rsidRDefault="00A87A7A" w:rsidP="007F7403">
      <w:pPr>
        <w:rPr>
          <w:rFonts w:cstheme="minorHAnsi"/>
        </w:rPr>
      </w:pPr>
    </w:p>
    <w:p w14:paraId="0F56E284" w14:textId="133CABFC" w:rsidR="007F7403" w:rsidRDefault="007F7403" w:rsidP="007F7403">
      <w:pPr>
        <w:rPr>
          <w:rFonts w:cstheme="minorHAnsi"/>
          <w:sz w:val="18"/>
          <w:szCs w:val="18"/>
        </w:rPr>
      </w:pPr>
    </w:p>
    <w:p w14:paraId="199EA7B5" w14:textId="77777777" w:rsidR="007F7403" w:rsidRDefault="007F7403" w:rsidP="007F7403">
      <w:pPr>
        <w:rPr>
          <w:rFonts w:cstheme="minorHAnsi"/>
          <w:sz w:val="18"/>
          <w:szCs w:val="18"/>
        </w:rPr>
      </w:pPr>
    </w:p>
    <w:p w14:paraId="1920D801" w14:textId="77777777" w:rsidR="007F7403" w:rsidRPr="007F7403" w:rsidRDefault="007F7403" w:rsidP="007F7403">
      <w:pPr>
        <w:rPr>
          <w:rFonts w:cstheme="minorHAnsi"/>
        </w:rPr>
      </w:pPr>
    </w:p>
    <w:p w14:paraId="54DF571E" w14:textId="77777777" w:rsidR="007F7403" w:rsidRPr="007F7403" w:rsidRDefault="007F7403" w:rsidP="007F7403">
      <w:pPr>
        <w:spacing w:after="200" w:line="276" w:lineRule="auto"/>
        <w:rPr>
          <w:rFonts w:cstheme="minorHAnsi"/>
        </w:rPr>
      </w:pPr>
    </w:p>
    <w:p w14:paraId="3BB38E63" w14:textId="77777777" w:rsidR="007F7403" w:rsidRPr="007F7403" w:rsidRDefault="007F7403" w:rsidP="007F7403">
      <w:pPr>
        <w:spacing w:after="200" w:line="276" w:lineRule="auto"/>
        <w:rPr>
          <w:rFonts w:cstheme="minorHAnsi"/>
        </w:rPr>
      </w:pPr>
    </w:p>
    <w:p w14:paraId="0E52A64D" w14:textId="77777777" w:rsidR="007F7403" w:rsidRDefault="007F7403" w:rsidP="007F7403">
      <w:pPr>
        <w:spacing w:after="200" w:line="276" w:lineRule="auto"/>
        <w:rPr>
          <w:rFonts w:ascii="Garamond" w:hAnsi="Garamond"/>
          <w:b/>
          <w:sz w:val="24"/>
          <w:szCs w:val="24"/>
        </w:rPr>
      </w:pPr>
    </w:p>
    <w:p w14:paraId="60A0DDCA" w14:textId="77777777" w:rsidR="007F7403" w:rsidRPr="00FE28B0" w:rsidRDefault="007F7403" w:rsidP="007F7403">
      <w:pPr>
        <w:rPr>
          <w:rFonts w:eastAsia="Times New Roman" w:cstheme="minorHAnsi"/>
          <w:lang w:eastAsia="en-GB"/>
        </w:rPr>
      </w:pPr>
    </w:p>
    <w:p w14:paraId="5855D907" w14:textId="541AE838" w:rsidR="001326A3" w:rsidRDefault="001326A3"/>
    <w:sectPr w:rsidR="001326A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795AC" w14:textId="77777777" w:rsidR="007F7403" w:rsidRDefault="007F7403" w:rsidP="007F7403">
      <w:pPr>
        <w:spacing w:after="0" w:line="240" w:lineRule="auto"/>
      </w:pPr>
      <w:r>
        <w:separator/>
      </w:r>
    </w:p>
  </w:endnote>
  <w:endnote w:type="continuationSeparator" w:id="0">
    <w:p w14:paraId="67825E2F" w14:textId="77777777" w:rsidR="007F7403" w:rsidRDefault="007F7403" w:rsidP="007F7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220B" w14:textId="77777777" w:rsidR="007F7403" w:rsidRDefault="007F7403" w:rsidP="007F7403">
      <w:pPr>
        <w:spacing w:after="0" w:line="240" w:lineRule="auto"/>
      </w:pPr>
      <w:r>
        <w:separator/>
      </w:r>
    </w:p>
  </w:footnote>
  <w:footnote w:type="continuationSeparator" w:id="0">
    <w:p w14:paraId="0CE02388" w14:textId="77777777" w:rsidR="007F7403" w:rsidRDefault="007F7403" w:rsidP="007F7403">
      <w:pPr>
        <w:spacing w:after="0" w:line="240" w:lineRule="auto"/>
      </w:pPr>
      <w:r>
        <w:continuationSeparator/>
      </w:r>
    </w:p>
  </w:footnote>
  <w:footnote w:id="1">
    <w:p w14:paraId="0DC28F33" w14:textId="77777777" w:rsidR="007F7403" w:rsidRPr="002B0777" w:rsidRDefault="007F7403" w:rsidP="007F7403">
      <w:pPr>
        <w:pStyle w:val="FootnoteText"/>
        <w:rPr>
          <w:rFonts w:ascii="Arial" w:hAnsi="Arial" w:cs="Arial"/>
          <w:sz w:val="16"/>
          <w:szCs w:val="16"/>
        </w:rPr>
      </w:pPr>
      <w:r w:rsidRPr="002B0777">
        <w:rPr>
          <w:rStyle w:val="FootnoteReference"/>
          <w:rFonts w:ascii="Arial" w:hAnsi="Arial" w:cs="Arial"/>
          <w:sz w:val="16"/>
          <w:szCs w:val="16"/>
        </w:rPr>
        <w:footnoteRef/>
      </w:r>
      <w:r w:rsidRPr="002B0777">
        <w:rPr>
          <w:rFonts w:ascii="Arial" w:hAnsi="Arial" w:cs="Arial"/>
          <w:sz w:val="16"/>
          <w:szCs w:val="16"/>
        </w:rPr>
        <w:t xml:space="preserve"> </w:t>
      </w:r>
      <w:r w:rsidRPr="009A3A1D">
        <w:rPr>
          <w:rFonts w:asciiTheme="minorHAnsi" w:hAnsiTheme="minorHAnsi" w:cstheme="minorHAnsi"/>
          <w:sz w:val="16"/>
          <w:szCs w:val="16"/>
        </w:rPr>
        <w:t>Falkirk Council (2010) Identifying the Housing Market pp7-8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47D39"/>
    <w:multiLevelType w:val="hybridMultilevel"/>
    <w:tmpl w:val="9E860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EE0BFB"/>
    <w:multiLevelType w:val="hybridMultilevel"/>
    <w:tmpl w:val="7E1C6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F20251"/>
    <w:multiLevelType w:val="hybridMultilevel"/>
    <w:tmpl w:val="13E8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4B39F7"/>
    <w:multiLevelType w:val="hybridMultilevel"/>
    <w:tmpl w:val="0B40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122C9C"/>
    <w:multiLevelType w:val="hybridMultilevel"/>
    <w:tmpl w:val="0DF4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C5074"/>
    <w:multiLevelType w:val="hybridMultilevel"/>
    <w:tmpl w:val="69625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0257206">
    <w:abstractNumId w:val="2"/>
  </w:num>
  <w:num w:numId="2" w16cid:durableId="1118988071">
    <w:abstractNumId w:val="5"/>
  </w:num>
  <w:num w:numId="3" w16cid:durableId="1826701575">
    <w:abstractNumId w:val="3"/>
  </w:num>
  <w:num w:numId="4" w16cid:durableId="205529237">
    <w:abstractNumId w:val="0"/>
  </w:num>
  <w:num w:numId="5" w16cid:durableId="216013287">
    <w:abstractNumId w:val="4"/>
  </w:num>
  <w:num w:numId="6" w16cid:durableId="922300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52"/>
    <w:rsid w:val="00022E0A"/>
    <w:rsid w:val="001326A3"/>
    <w:rsid w:val="001E2C3C"/>
    <w:rsid w:val="00225852"/>
    <w:rsid w:val="00387E87"/>
    <w:rsid w:val="00642545"/>
    <w:rsid w:val="00785BFC"/>
    <w:rsid w:val="007F7403"/>
    <w:rsid w:val="009A6D4E"/>
    <w:rsid w:val="00A87A7A"/>
    <w:rsid w:val="00AC7067"/>
    <w:rsid w:val="00AE063F"/>
    <w:rsid w:val="00AE7CD6"/>
    <w:rsid w:val="00B15048"/>
    <w:rsid w:val="00DF77B4"/>
    <w:rsid w:val="00E95064"/>
    <w:rsid w:val="00FD3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5C651"/>
  <w15:chartTrackingRefBased/>
  <w15:docId w15:val="{7E6D7225-5D48-4E63-93F8-A3F011B3D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852"/>
  </w:style>
  <w:style w:type="paragraph" w:styleId="Heading2">
    <w:name w:val="heading 2"/>
    <w:basedOn w:val="Normal"/>
    <w:next w:val="Normal"/>
    <w:link w:val="Heading2Char"/>
    <w:uiPriority w:val="9"/>
    <w:unhideWhenUsed/>
    <w:qFormat/>
    <w:rsid w:val="002258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258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740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5852"/>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22585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2585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F7403"/>
    <w:pPr>
      <w:ind w:left="720"/>
      <w:contextualSpacing/>
    </w:pPr>
  </w:style>
  <w:style w:type="paragraph" w:styleId="FootnoteText">
    <w:name w:val="footnote text"/>
    <w:basedOn w:val="Normal"/>
    <w:link w:val="FootnoteTextChar"/>
    <w:semiHidden/>
    <w:rsid w:val="007F740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7F7403"/>
    <w:rPr>
      <w:rFonts w:ascii="Times New Roman" w:eastAsia="Times New Roman" w:hAnsi="Times New Roman" w:cs="Times New Roman"/>
      <w:sz w:val="20"/>
      <w:szCs w:val="20"/>
      <w:lang w:eastAsia="en-GB"/>
    </w:rPr>
  </w:style>
  <w:style w:type="character" w:styleId="FootnoteReference">
    <w:name w:val="footnote reference"/>
    <w:basedOn w:val="DefaultParagraphFont"/>
    <w:semiHidden/>
    <w:rsid w:val="007F7403"/>
    <w:rPr>
      <w:vertAlign w:val="superscript"/>
    </w:rPr>
  </w:style>
  <w:style w:type="character" w:customStyle="1" w:styleId="Heading4Char">
    <w:name w:val="Heading 4 Char"/>
    <w:basedOn w:val="DefaultParagraphFont"/>
    <w:link w:val="Heading4"/>
    <w:uiPriority w:val="9"/>
    <w:rsid w:val="007F7403"/>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F7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7A7A"/>
    <w:rPr>
      <w:rFonts w:ascii="Times New Roman" w:hAnsi="Times New Roman" w:cs="Times New Roman"/>
      <w:sz w:val="24"/>
      <w:szCs w:val="24"/>
    </w:rPr>
  </w:style>
  <w:style w:type="table" w:styleId="GridTable1Light">
    <w:name w:val="Grid Table 1 Light"/>
    <w:basedOn w:val="TableNormal"/>
    <w:uiPriority w:val="46"/>
    <w:rsid w:val="009A6D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64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18" ma:contentTypeDescription="Create a new document." ma:contentTypeScope="" ma:versionID="bcf8db125cb175e316c6455a61b71e6a">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7d952ef8bcfcedba741202e532b1146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DDB0BF-8CE0-4C02-9F45-A33C5AB6678C}"/>
</file>

<file path=customXml/itemProps2.xml><?xml version="1.0" encoding="utf-8"?>
<ds:datastoreItem xmlns:ds="http://schemas.openxmlformats.org/officeDocument/2006/customXml" ds:itemID="{4D2C822D-06DA-451A-8280-E7980E3F37E7}"/>
</file>

<file path=docProps/app.xml><?xml version="1.0" encoding="utf-8"?>
<Properties xmlns="http://schemas.openxmlformats.org/officeDocument/2006/extended-properties" xmlns:vt="http://schemas.openxmlformats.org/officeDocument/2006/docPropsVTypes">
  <Template>Normal</Template>
  <TotalTime>163</TotalTime>
  <Pages>20</Pages>
  <Words>3741</Words>
  <Characters>21325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Wynd</dc:creator>
  <cp:keywords/>
  <dc:description/>
  <cp:lastModifiedBy>Callum Wynd</cp:lastModifiedBy>
  <cp:revision>11</cp:revision>
  <dcterms:created xsi:type="dcterms:W3CDTF">2023-02-08T10:34:00Z</dcterms:created>
  <dcterms:modified xsi:type="dcterms:W3CDTF">2023-02-14T12:16:00Z</dcterms:modified>
</cp:coreProperties>
</file>